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4ABFBBCA"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WG2 Meeting #13</w:t>
      </w:r>
      <w:r w:rsidR="00A060E1">
        <w:rPr>
          <w:bCs/>
          <w:noProof w:val="0"/>
          <w:sz w:val="24"/>
          <w:szCs w:val="24"/>
        </w:rPr>
        <w:t>2</w:t>
      </w:r>
      <w:r w:rsidRPr="00290C2E">
        <w:rPr>
          <w:bCs/>
          <w:noProof w:val="0"/>
          <w:sz w:val="24"/>
          <w:szCs w:val="24"/>
        </w:rPr>
        <w:tab/>
      </w:r>
      <w:r w:rsidR="00196407" w:rsidRPr="00196407">
        <w:rPr>
          <w:bCs/>
          <w:noProof w:val="0"/>
          <w:sz w:val="24"/>
          <w:szCs w:val="24"/>
        </w:rPr>
        <w:t>R2-2508786</w:t>
      </w:r>
    </w:p>
    <w:p w14:paraId="3723E1D3" w14:textId="34490B6C" w:rsidR="005432D9" w:rsidRPr="00290C2E" w:rsidRDefault="00243F77" w:rsidP="00541A65">
      <w:pPr>
        <w:pStyle w:val="Header"/>
        <w:tabs>
          <w:tab w:val="right" w:pos="9641"/>
        </w:tabs>
        <w:rPr>
          <w:rFonts w:eastAsia="SimSun"/>
          <w:bCs/>
          <w:sz w:val="24"/>
          <w:szCs w:val="24"/>
          <w:lang w:eastAsia="zh-CN"/>
        </w:rPr>
      </w:pPr>
      <w:r>
        <w:rPr>
          <w:sz w:val="24"/>
        </w:rPr>
        <w:t>Dallas</w:t>
      </w:r>
      <w:r w:rsidR="00AB0CC3" w:rsidRPr="00290C2E">
        <w:rPr>
          <w:sz w:val="24"/>
        </w:rPr>
        <w:t xml:space="preserve">, </w:t>
      </w:r>
      <w:r>
        <w:rPr>
          <w:sz w:val="24"/>
        </w:rPr>
        <w:t>Texas, USA</w:t>
      </w:r>
      <w:r w:rsidR="00AB0CC3" w:rsidRPr="00290C2E">
        <w:rPr>
          <w:sz w:val="24"/>
        </w:rPr>
        <w:t>, 17</w:t>
      </w:r>
      <w:r>
        <w:rPr>
          <w:sz w:val="24"/>
        </w:rPr>
        <w:t xml:space="preserve"> - 21</w:t>
      </w:r>
      <w:r w:rsidR="00AB0CC3" w:rsidRPr="00290C2E">
        <w:rPr>
          <w:sz w:val="24"/>
        </w:rPr>
        <w:t xml:space="preserve"> </w:t>
      </w:r>
      <w:r>
        <w:rPr>
          <w:sz w:val="24"/>
        </w:rPr>
        <w:t>Novem</w:t>
      </w:r>
      <w:r w:rsidR="00AB0CC3" w:rsidRPr="00290C2E">
        <w:rPr>
          <w:sz w:val="24"/>
        </w:rPr>
        <w:t>ber 2025</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43EFC82B"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970491" w:rsidRPr="00970491">
        <w:rPr>
          <w:rFonts w:cs="Arial"/>
          <w:b/>
          <w:bCs/>
          <w:sz w:val="24"/>
          <w:lang w:eastAsia="ja-JP"/>
        </w:rPr>
        <w:t>8.20.1</w:t>
      </w:r>
    </w:p>
    <w:p w14:paraId="0EC781B3" w14:textId="6A91F14F"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r w:rsidR="00C76D1B">
        <w:rPr>
          <w:rFonts w:ascii="Arial" w:hAnsi="Arial" w:cs="Arial"/>
          <w:b/>
          <w:bCs/>
          <w:sz w:val="24"/>
        </w:rPr>
        <w:t xml:space="preserve"> Group</w:t>
      </w:r>
      <w:r w:rsidR="00C2330A">
        <w:rPr>
          <w:rFonts w:ascii="Arial" w:hAnsi="Arial" w:cs="Arial"/>
          <w:b/>
          <w:bCs/>
          <w:sz w:val="24"/>
        </w:rPr>
        <w:t>, Thales, Hispasat</w:t>
      </w:r>
      <w:r w:rsidR="00C76D1B">
        <w:rPr>
          <w:rFonts w:ascii="Arial" w:hAnsi="Arial" w:cs="Arial"/>
          <w:b/>
          <w:bCs/>
          <w:sz w:val="24"/>
        </w:rPr>
        <w:t>, Airbus</w:t>
      </w:r>
    </w:p>
    <w:p w14:paraId="16C775DD" w14:textId="4E39489C" w:rsidR="008B549E" w:rsidRPr="00290C2E" w:rsidRDefault="008B549E" w:rsidP="00CA640F">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CA640F" w:rsidRPr="00621E65">
        <w:rPr>
          <w:rFonts w:ascii="Arial" w:hAnsi="Arial" w:cs="Arial"/>
          <w:b/>
          <w:bCs/>
          <w:sz w:val="24"/>
        </w:rPr>
        <w:t xml:space="preserve">Linear polarization orientation </w:t>
      </w:r>
      <w:r w:rsidR="0096451B">
        <w:rPr>
          <w:rFonts w:ascii="Arial" w:hAnsi="Arial" w:cs="Arial"/>
          <w:b/>
          <w:bCs/>
          <w:sz w:val="24"/>
        </w:rPr>
        <w:t xml:space="preserve">RRC </w:t>
      </w:r>
      <w:r w:rsidR="00CA640F" w:rsidRPr="00621E65">
        <w:rPr>
          <w:rFonts w:ascii="Arial" w:hAnsi="Arial" w:cs="Arial"/>
          <w:b/>
          <w:bCs/>
          <w:sz w:val="24"/>
        </w:rPr>
        <w:t>signalling</w:t>
      </w:r>
      <w:r w:rsidR="00621E65">
        <w:rPr>
          <w:rFonts w:ascii="Arial" w:hAnsi="Arial" w:cs="Arial"/>
          <w:b/>
          <w:bCs/>
          <w:sz w:val="24"/>
        </w:rPr>
        <w:t xml:space="preserve"> for NR NTN</w:t>
      </w:r>
    </w:p>
    <w:p w14:paraId="7D015DD9" w14:textId="121F3FBE" w:rsidR="008B549E" w:rsidRPr="00290C2E" w:rsidRDefault="008B549E" w:rsidP="005E0CF0">
      <w:pPr>
        <w:ind w:left="1985" w:hanging="1985"/>
        <w:rPr>
          <w:rFonts w:ascii="Arial" w:hAnsi="Arial" w:cs="Arial"/>
          <w:b/>
          <w:bCs/>
          <w:sz w:val="24"/>
        </w:rPr>
      </w:pPr>
      <w:r w:rsidRPr="00290C2E">
        <w:rPr>
          <w:rFonts w:ascii="Arial" w:hAnsi="Arial" w:cs="Arial"/>
          <w:b/>
          <w:bCs/>
          <w:sz w:val="24"/>
        </w:rPr>
        <w:t>WID/SID:</w:t>
      </w:r>
      <w:r w:rsidRPr="00290C2E">
        <w:rPr>
          <w:rFonts w:ascii="Arial" w:hAnsi="Arial" w:cs="Arial"/>
          <w:b/>
          <w:bCs/>
          <w:sz w:val="24"/>
        </w:rPr>
        <w:tab/>
        <w:t xml:space="preserve">Release </w:t>
      </w:r>
      <w:r w:rsidR="00CA640F">
        <w:rPr>
          <w:rFonts w:ascii="Arial" w:hAnsi="Arial" w:cs="Arial"/>
          <w:b/>
          <w:bCs/>
          <w:sz w:val="24"/>
        </w:rPr>
        <w:t>19</w:t>
      </w:r>
      <w:r w:rsidR="005E0CF0">
        <w:rPr>
          <w:rFonts w:ascii="Arial" w:hAnsi="Arial" w:cs="Arial"/>
          <w:b/>
          <w:bCs/>
          <w:sz w:val="24"/>
        </w:rPr>
        <w:t xml:space="preserve"> / </w:t>
      </w:r>
      <w:proofErr w:type="spellStart"/>
      <w:r w:rsidR="005E0CF0" w:rsidRPr="005E0CF0">
        <w:rPr>
          <w:rFonts w:ascii="Arial" w:hAnsi="Arial" w:cs="Arial"/>
          <w:b/>
          <w:bCs/>
          <w:sz w:val="24"/>
        </w:rPr>
        <w:t>NR_NTN_Ku_bands</w:t>
      </w:r>
      <w:proofErr w:type="spellEnd"/>
    </w:p>
    <w:p w14:paraId="387A415F" w14:textId="77777777"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t>Discussion and Decision</w:t>
      </w:r>
    </w:p>
    <w:p w14:paraId="452AB6CC" w14:textId="77777777" w:rsidR="008B549E" w:rsidRPr="00290C2E" w:rsidRDefault="008B549E" w:rsidP="008B549E">
      <w:pPr>
        <w:pStyle w:val="Heading1"/>
      </w:pPr>
      <w:r w:rsidRPr="00290C2E">
        <w:t>1</w:t>
      </w:r>
      <w:r w:rsidRPr="00290C2E">
        <w:tab/>
        <w:t>Introduction</w:t>
      </w:r>
    </w:p>
    <w:p w14:paraId="231783DF" w14:textId="1C59F28E" w:rsidR="005804E2" w:rsidRPr="00290C2E" w:rsidRDefault="00706A93" w:rsidP="00D45E9F">
      <w:r>
        <w:t xml:space="preserve">This contribution </w:t>
      </w:r>
      <w:r w:rsidR="00D45E9F">
        <w:t xml:space="preserve">provides some background on linear antenna polarisation orientation and proposes the introduction of related optional RRC signalling </w:t>
      </w:r>
      <w:r w:rsidR="00621E65">
        <w:t xml:space="preserve">for NR NTN </w:t>
      </w:r>
      <w:r w:rsidR="00D45E9F">
        <w:t>in the context of Rel-19.</w:t>
      </w:r>
    </w:p>
    <w:p w14:paraId="54B595C2" w14:textId="3F42D516" w:rsidR="00C65EAA" w:rsidRPr="00290C2E" w:rsidRDefault="008B549E" w:rsidP="008B549E">
      <w:pPr>
        <w:pStyle w:val="Heading1"/>
      </w:pPr>
      <w:r w:rsidRPr="00290C2E">
        <w:t>2</w:t>
      </w:r>
      <w:r w:rsidRPr="00290C2E">
        <w:tab/>
      </w:r>
      <w:r w:rsidR="00A060E1">
        <w:t>Discussion</w:t>
      </w:r>
    </w:p>
    <w:p w14:paraId="44D88FA1" w14:textId="14FF0B7C" w:rsidR="00E81357" w:rsidRDefault="00E81357" w:rsidP="00E81357">
      <w:pPr>
        <w:pStyle w:val="Heading2"/>
      </w:pPr>
      <w:bookmarkStart w:id="0" w:name="_Hlk212681300"/>
      <w:r>
        <w:t>2.1</w:t>
      </w:r>
      <w:r>
        <w:tab/>
        <w:t>Antenna polarization background</w:t>
      </w:r>
    </w:p>
    <w:p w14:paraId="733A484D" w14:textId="77777777" w:rsidR="00E81357" w:rsidRDefault="00E81357" w:rsidP="00E81357">
      <w:r w:rsidRPr="0081732F">
        <w:t xml:space="preserve">Antenna polarization </w:t>
      </w:r>
      <w:r>
        <w:t xml:space="preserve">is a technique used in radio transmission, specifying </w:t>
      </w:r>
      <w:r w:rsidRPr="0081732F">
        <w:t>the orientation of the electric field of a radio wave</w:t>
      </w:r>
      <w:r>
        <w:t xml:space="preserve"> propagation. More specifically, polarization is a parameter </w:t>
      </w:r>
      <w:r w:rsidRPr="0081732F">
        <w:t>defin</w:t>
      </w:r>
      <w:r>
        <w:t xml:space="preserve">ing </w:t>
      </w:r>
      <w:r w:rsidRPr="0081732F">
        <w:t>how the</w:t>
      </w:r>
      <w:r>
        <w:t xml:space="preserve"> </w:t>
      </w:r>
      <w:r w:rsidRPr="0081732F">
        <w:t>electromagnetic wave is emitted or received</w:t>
      </w:r>
      <w:r>
        <w:t xml:space="preserve"> by an antenna</w:t>
      </w:r>
      <w:r w:rsidRPr="0081732F">
        <w:t>.</w:t>
      </w:r>
      <w:r>
        <w:t xml:space="preserve"> Different polarization types may be selected depending on the expected properties and performances a telecommunication system.</w:t>
      </w:r>
    </w:p>
    <w:p w14:paraId="1DF4A943" w14:textId="60AABB2A" w:rsidR="00E81357" w:rsidRDefault="00E81357" w:rsidP="00E81357">
      <w:r>
        <w:t>Different polarization types have been specified for NR NTN [1</w:t>
      </w:r>
      <w:r w:rsidRPr="00D95E55">
        <w:t>]</w:t>
      </w:r>
      <w:r w:rsidR="00771979">
        <w:t xml:space="preserve"> </w:t>
      </w:r>
      <w:r w:rsidR="00D95E55">
        <w:t>(</w:t>
      </w:r>
      <w:r w:rsidRPr="00D95E55">
        <w:t>TS 38.331</w:t>
      </w:r>
      <w:r w:rsidR="00D95E55">
        <w:t>)</w:t>
      </w:r>
      <w:r>
        <w:t xml:space="preserve"> from Rel-17 onwards, namely:</w:t>
      </w:r>
    </w:p>
    <w:p w14:paraId="4E0E2969" w14:textId="4E48A617" w:rsidR="00E81357" w:rsidRPr="0081732F" w:rsidRDefault="00E81357" w:rsidP="00E81357">
      <w:pPr>
        <w:pStyle w:val="ListParagraph"/>
        <w:numPr>
          <w:ilvl w:val="0"/>
          <w:numId w:val="40"/>
        </w:numPr>
        <w:spacing w:after="160" w:line="259" w:lineRule="auto"/>
      </w:pPr>
      <w:r>
        <w:t xml:space="preserve">Circular polarization, with two possible orientations: Right Hand </w:t>
      </w:r>
      <w:r w:rsidR="008317A7">
        <w:t>Circular Polarization (</w:t>
      </w:r>
      <w:proofErr w:type="spellStart"/>
      <w:r w:rsidR="008317A7" w:rsidRPr="008317A7">
        <w:rPr>
          <w:b/>
          <w:bCs/>
          <w:i/>
          <w:iCs/>
        </w:rPr>
        <w:t>rhcp</w:t>
      </w:r>
      <w:proofErr w:type="spellEnd"/>
      <w:r w:rsidR="008317A7">
        <w:t>) or</w:t>
      </w:r>
      <w:r>
        <w:t xml:space="preserve"> </w:t>
      </w:r>
      <w:proofErr w:type="gramStart"/>
      <w:r>
        <w:t>Left Hand</w:t>
      </w:r>
      <w:proofErr w:type="gramEnd"/>
      <w:r>
        <w:t xml:space="preserve"> Circular Polarization</w:t>
      </w:r>
      <w:r w:rsidR="008317A7">
        <w:t xml:space="preserve"> (</w:t>
      </w:r>
      <w:proofErr w:type="spellStart"/>
      <w:r w:rsidR="008317A7" w:rsidRPr="008317A7">
        <w:rPr>
          <w:b/>
          <w:bCs/>
          <w:i/>
          <w:iCs/>
        </w:rPr>
        <w:t>lhcp</w:t>
      </w:r>
      <w:proofErr w:type="spellEnd"/>
      <w:r>
        <w:t>)</w:t>
      </w:r>
      <w:r w:rsidR="009545A1">
        <w:t>,</w:t>
      </w:r>
    </w:p>
    <w:p w14:paraId="10577238" w14:textId="3362BE4F" w:rsidR="00E81357" w:rsidRPr="0081732F" w:rsidRDefault="00E81357" w:rsidP="00E81357">
      <w:pPr>
        <w:pStyle w:val="ListParagraph"/>
        <w:numPr>
          <w:ilvl w:val="0"/>
          <w:numId w:val="40"/>
        </w:numPr>
        <w:spacing w:after="160" w:line="259" w:lineRule="auto"/>
      </w:pPr>
      <w:r>
        <w:t>Linear polarization</w:t>
      </w:r>
      <w:r w:rsidR="008317A7">
        <w:t xml:space="preserve"> (</w:t>
      </w:r>
      <w:r w:rsidR="008317A7" w:rsidRPr="008317A7">
        <w:rPr>
          <w:b/>
          <w:bCs/>
          <w:i/>
          <w:iCs/>
        </w:rPr>
        <w:t>linear</w:t>
      </w:r>
      <w:r w:rsidR="008317A7">
        <w:t>)</w:t>
      </w:r>
      <w:r>
        <w:t>.</w:t>
      </w:r>
    </w:p>
    <w:p w14:paraId="05C5965B" w14:textId="28A1B6EE" w:rsidR="00E81357" w:rsidRDefault="00520E88" w:rsidP="00E81357">
      <w:r>
        <w:t xml:space="preserve">Considering a typical use of circular polarization for </w:t>
      </w:r>
      <w:r w:rsidR="00890FEF">
        <w:t xml:space="preserve">initial </w:t>
      </w:r>
      <w:r>
        <w:t>NR NTN use cases, s</w:t>
      </w:r>
      <w:r w:rsidR="008F022E">
        <w:t xml:space="preserve">ignalling </w:t>
      </w:r>
      <w:r>
        <w:t xml:space="preserve">those </w:t>
      </w:r>
      <w:r w:rsidR="00E81357" w:rsidRPr="004164A0">
        <w:t xml:space="preserve">values </w:t>
      </w:r>
      <w:r w:rsidR="008F022E">
        <w:t xml:space="preserve">by the satellite network to the UE has </w:t>
      </w:r>
      <w:r w:rsidR="00E81357" w:rsidRPr="004164A0">
        <w:t xml:space="preserve">been </w:t>
      </w:r>
      <w:r w:rsidR="00E81357">
        <w:t xml:space="preserve">considered </w:t>
      </w:r>
      <w:r w:rsidR="00E81357" w:rsidRPr="004164A0">
        <w:t xml:space="preserve">sufficient </w:t>
      </w:r>
      <w:r w:rsidR="00E81357">
        <w:t>to properly support NR NTN transmission in Rel-17 or Rel-18.</w:t>
      </w:r>
    </w:p>
    <w:p w14:paraId="174355DC" w14:textId="4BFBCBBE" w:rsidR="00520E88" w:rsidRPr="00520E88" w:rsidRDefault="00520E88" w:rsidP="00520E88">
      <w:pPr>
        <w:spacing w:before="120" w:after="120"/>
        <w:ind w:left="1418" w:hanging="1418"/>
        <w:jc w:val="both"/>
        <w:rPr>
          <w:rFonts w:eastAsia="Malgun Gothic"/>
          <w:b/>
          <w:bCs/>
        </w:rPr>
      </w:pPr>
      <w:r w:rsidRPr="00520E88">
        <w:rPr>
          <w:rFonts w:eastAsia="Malgun Gothic" w:hint="eastAsia"/>
          <w:b/>
          <w:bCs/>
        </w:rPr>
        <w:t>Observation 1</w:t>
      </w:r>
      <w:r w:rsidRPr="00520E88">
        <w:rPr>
          <w:rFonts w:eastAsia="Malgun Gothic"/>
          <w:b/>
          <w:bCs/>
        </w:rPr>
        <w:t>:</w:t>
      </w:r>
      <w:r w:rsidRPr="00520E88">
        <w:rPr>
          <w:rFonts w:eastAsia="Malgun Gothic"/>
          <w:b/>
          <w:bCs/>
        </w:rPr>
        <w:tab/>
      </w:r>
      <w:r w:rsidRPr="00890FEF">
        <w:rPr>
          <w:b/>
          <w:bCs/>
        </w:rPr>
        <w:t xml:space="preserve">Considering a typical use of circular polarization for </w:t>
      </w:r>
      <w:r w:rsidR="00890FEF" w:rsidRPr="00890FEF">
        <w:rPr>
          <w:b/>
          <w:bCs/>
        </w:rPr>
        <w:t xml:space="preserve">initial </w:t>
      </w:r>
      <w:r w:rsidRPr="00890FEF">
        <w:rPr>
          <w:b/>
          <w:bCs/>
        </w:rPr>
        <w:t xml:space="preserve">NR NTN use cases, signalling </w:t>
      </w:r>
      <w:r w:rsidR="008317A7">
        <w:rPr>
          <w:b/>
          <w:bCs/>
        </w:rPr>
        <w:t xml:space="preserve">one of </w:t>
      </w:r>
      <w:proofErr w:type="spellStart"/>
      <w:r w:rsidR="008317A7" w:rsidRPr="008317A7">
        <w:rPr>
          <w:b/>
          <w:bCs/>
          <w:i/>
          <w:iCs/>
          <w:u w:val="single"/>
        </w:rPr>
        <w:t>rhcp</w:t>
      </w:r>
      <w:proofErr w:type="spellEnd"/>
      <w:r w:rsidR="008317A7">
        <w:rPr>
          <w:b/>
          <w:bCs/>
          <w:i/>
          <w:iCs/>
        </w:rPr>
        <w:t xml:space="preserve">, </w:t>
      </w:r>
      <w:proofErr w:type="spellStart"/>
      <w:r w:rsidR="008317A7" w:rsidRPr="008317A7">
        <w:rPr>
          <w:b/>
          <w:bCs/>
          <w:i/>
          <w:iCs/>
          <w:u w:val="single"/>
        </w:rPr>
        <w:t>lhcp</w:t>
      </w:r>
      <w:proofErr w:type="spellEnd"/>
      <w:r w:rsidR="008317A7">
        <w:rPr>
          <w:b/>
          <w:bCs/>
          <w:i/>
          <w:iCs/>
        </w:rPr>
        <w:t xml:space="preserve"> </w:t>
      </w:r>
      <w:r w:rsidR="008317A7" w:rsidRPr="008317A7">
        <w:rPr>
          <w:b/>
          <w:bCs/>
        </w:rPr>
        <w:t>and</w:t>
      </w:r>
      <w:r w:rsidR="008317A7" w:rsidRPr="00890FEF">
        <w:rPr>
          <w:b/>
          <w:bCs/>
        </w:rPr>
        <w:t xml:space="preserve"> </w:t>
      </w:r>
      <w:r w:rsidR="008317A7" w:rsidRPr="008317A7">
        <w:rPr>
          <w:b/>
          <w:bCs/>
          <w:i/>
          <w:iCs/>
          <w:u w:val="single"/>
        </w:rPr>
        <w:t>linear</w:t>
      </w:r>
      <w:r w:rsidR="008317A7" w:rsidRPr="00890FEF">
        <w:rPr>
          <w:b/>
          <w:bCs/>
        </w:rPr>
        <w:t xml:space="preserve"> </w:t>
      </w:r>
      <w:r w:rsidR="00CF062D">
        <w:rPr>
          <w:b/>
          <w:bCs/>
        </w:rPr>
        <w:t xml:space="preserve">values </w:t>
      </w:r>
      <w:r w:rsidRPr="00890FEF">
        <w:rPr>
          <w:b/>
          <w:bCs/>
        </w:rPr>
        <w:t xml:space="preserve">by the satellite network to the UE </w:t>
      </w:r>
      <w:r w:rsidR="002C7F08">
        <w:rPr>
          <w:b/>
          <w:bCs/>
        </w:rPr>
        <w:t>was deemed</w:t>
      </w:r>
      <w:r w:rsidR="002C7F08" w:rsidRPr="00890FEF">
        <w:rPr>
          <w:b/>
          <w:bCs/>
        </w:rPr>
        <w:t xml:space="preserve"> </w:t>
      </w:r>
      <w:r w:rsidRPr="00890FEF">
        <w:rPr>
          <w:b/>
          <w:bCs/>
        </w:rPr>
        <w:t>sufficient to properly support NR NTN transmission in Rel-17 or Rel-18.</w:t>
      </w:r>
    </w:p>
    <w:p w14:paraId="172ACA3E" w14:textId="7DD1A67A" w:rsidR="00E81357" w:rsidRDefault="00E81357" w:rsidP="00E81357">
      <w:pPr>
        <w:pStyle w:val="Heading2"/>
      </w:pPr>
      <w:r>
        <w:t>2.2</w:t>
      </w:r>
      <w:r>
        <w:tab/>
      </w:r>
      <w:r w:rsidR="00991153">
        <w:t>Linear antenna polarisation orientation</w:t>
      </w:r>
    </w:p>
    <w:p w14:paraId="0825C388" w14:textId="40BA705D" w:rsidR="00E81357" w:rsidRDefault="00E81357" w:rsidP="00E81357">
      <w:r>
        <w:t xml:space="preserve">However, the specification of Ku bands in Rel-19 </w:t>
      </w:r>
      <w:r w:rsidRPr="00D95E55">
        <w:t>[</w:t>
      </w:r>
      <w:r w:rsidR="00D95E55">
        <w:t>2</w:t>
      </w:r>
      <w:r w:rsidRPr="00D95E55">
        <w:t>]</w:t>
      </w:r>
      <w:r w:rsidR="00771979">
        <w:t xml:space="preserve"> </w:t>
      </w:r>
      <w:r w:rsidR="00D95E55">
        <w:t>(</w:t>
      </w:r>
      <w:r w:rsidRPr="00D95E55">
        <w:t>Ku bands WID</w:t>
      </w:r>
      <w:r w:rsidR="00D95E55">
        <w:t>)</w:t>
      </w:r>
      <w:r>
        <w:t xml:space="preserve"> is </w:t>
      </w:r>
      <w:r w:rsidR="002818AA">
        <w:t xml:space="preserve">unlocking </w:t>
      </w:r>
      <w:r>
        <w:t xml:space="preserve">the support by 3GPP of new satellite communication scenarios that require </w:t>
      </w:r>
      <w:r w:rsidR="002818AA">
        <w:t xml:space="preserve">the signalling of </w:t>
      </w:r>
      <w:r>
        <w:t xml:space="preserve">additional information for the case of linear polarization. </w:t>
      </w:r>
      <w:bookmarkStart w:id="1" w:name="_Hlk213151935"/>
      <w:r>
        <w:t xml:space="preserve">More specifically, existing Ku band </w:t>
      </w:r>
      <w:r w:rsidR="008849F5">
        <w:t xml:space="preserve">geostationary </w:t>
      </w:r>
      <w:r>
        <w:t xml:space="preserve">satellite systems use linear polarization </w:t>
      </w:r>
      <w:bookmarkEnd w:id="1"/>
      <w:r>
        <w:t xml:space="preserve">that can take two </w:t>
      </w:r>
      <w:r w:rsidR="008849F5">
        <w:t xml:space="preserve">orthogonal </w:t>
      </w:r>
      <w:r>
        <w:t>orientations</w:t>
      </w:r>
      <w:r w:rsidR="002C7F08">
        <w:t xml:space="preserve"> (see [3] (</w:t>
      </w:r>
      <w:r w:rsidR="00B27726" w:rsidRPr="00B27726">
        <w:rPr>
          <w:rFonts w:cstheme="minorHAnsi"/>
        </w:rPr>
        <w:t xml:space="preserve">Type </w:t>
      </w:r>
      <w:r w:rsidR="00B27726">
        <w:rPr>
          <w:rFonts w:cstheme="minorHAnsi"/>
        </w:rPr>
        <w:t>A</w:t>
      </w:r>
      <w:r w:rsidR="00B27726" w:rsidRPr="00B27726">
        <w:rPr>
          <w:rFonts w:cstheme="minorHAnsi"/>
        </w:rPr>
        <w:t xml:space="preserve">pproval </w:t>
      </w:r>
      <w:r w:rsidR="00B27726">
        <w:rPr>
          <w:rFonts w:cstheme="minorHAnsi"/>
        </w:rPr>
        <w:t>p</w:t>
      </w:r>
      <w:r w:rsidR="00B27726" w:rsidRPr="00B27726">
        <w:rPr>
          <w:rFonts w:cstheme="minorHAnsi"/>
        </w:rPr>
        <w:t>rocedures</w:t>
      </w:r>
      <w:r w:rsidR="00B27726">
        <w:t xml:space="preserve"> - Eutelsat</w:t>
      </w:r>
      <w:r w:rsidR="00CA21B9">
        <w:t xml:space="preserve"> </w:t>
      </w:r>
      <w:r w:rsidR="002C7F08">
        <w:t xml:space="preserve">- </w:t>
      </w:r>
      <w:r w:rsidR="002C7F08" w:rsidRPr="00CA21B9">
        <w:t>section</w:t>
      </w:r>
      <w:r w:rsidR="002C7F08">
        <w:t xml:space="preserve"> </w:t>
      </w:r>
      <w:r w:rsidR="00656106">
        <w:t>12</w:t>
      </w:r>
      <w:r w:rsidR="002C7F08">
        <w:t>)</w:t>
      </w:r>
      <w:r>
        <w:t>:</w:t>
      </w:r>
    </w:p>
    <w:p w14:paraId="2BCADACD" w14:textId="4B758490" w:rsidR="00E81357" w:rsidRPr="0081732F" w:rsidRDefault="00E81357" w:rsidP="00E81357">
      <w:pPr>
        <w:pStyle w:val="ListParagraph"/>
        <w:numPr>
          <w:ilvl w:val="0"/>
          <w:numId w:val="40"/>
        </w:numPr>
        <w:spacing w:after="160" w:line="259" w:lineRule="auto"/>
      </w:pPr>
      <w:r>
        <w:t>Horizontal polarization</w:t>
      </w:r>
      <w:r w:rsidR="008849F5">
        <w:t>, referred to as "X" (or "H") polarization</w:t>
      </w:r>
      <w:r>
        <w:t>,</w:t>
      </w:r>
    </w:p>
    <w:p w14:paraId="2038AC43" w14:textId="766B6DEA" w:rsidR="00E81357" w:rsidRPr="0081732F" w:rsidRDefault="00E81357" w:rsidP="00E81357">
      <w:pPr>
        <w:pStyle w:val="ListParagraph"/>
        <w:numPr>
          <w:ilvl w:val="0"/>
          <w:numId w:val="40"/>
        </w:numPr>
        <w:spacing w:after="160" w:line="259" w:lineRule="auto"/>
      </w:pPr>
      <w:r>
        <w:t>Vertical polarization</w:t>
      </w:r>
      <w:r w:rsidR="008849F5">
        <w:t>, referred to as "Y" (or "V") polarization</w:t>
      </w:r>
      <w:r>
        <w:t>.</w:t>
      </w:r>
    </w:p>
    <w:p w14:paraId="39354C40" w14:textId="217505B0" w:rsidR="00E81357" w:rsidRDefault="00E81357" w:rsidP="00E81357">
      <w:r>
        <w:t xml:space="preserve">In such systems, the terrestrial </w:t>
      </w:r>
      <w:r w:rsidR="008849F5">
        <w:t xml:space="preserve">VSAT </w:t>
      </w:r>
      <w:r>
        <w:t xml:space="preserve">User Equipment (UE) needs to be aware </w:t>
      </w:r>
      <w:r w:rsidR="002818AA">
        <w:t xml:space="preserve">of </w:t>
      </w:r>
      <w:r>
        <w:t xml:space="preserve">- before accessing a NR NTN cell - which polarization orientation of the signals it is expected to receive from the satellite </w:t>
      </w:r>
      <w:r w:rsidR="00616B3B">
        <w:t xml:space="preserve">access </w:t>
      </w:r>
      <w:r w:rsidR="00616B3B">
        <w:lastRenderedPageBreak/>
        <w:t xml:space="preserve">node </w:t>
      </w:r>
      <w:r>
        <w:t>in the downlink on the service link, and which polarization orientation it shall use for the uplink transmission.</w:t>
      </w:r>
    </w:p>
    <w:p w14:paraId="342D3C2F" w14:textId="188ABA7C" w:rsidR="003B3AA7" w:rsidRDefault="003B3AA7" w:rsidP="003B3AA7">
      <w:r>
        <w:t xml:space="preserve">Note: </w:t>
      </w:r>
      <w:r w:rsidRPr="003B3AA7">
        <w:t xml:space="preserve">current </w:t>
      </w:r>
      <w:r>
        <w:t>geostationary</w:t>
      </w:r>
      <w:r w:rsidRPr="003B3AA7">
        <w:t xml:space="preserve"> satellite systems use </w:t>
      </w:r>
      <w:r>
        <w:t>th</w:t>
      </w:r>
      <w:r w:rsidRPr="003B3AA7">
        <w:t>e two linear polarizations either:</w:t>
      </w:r>
    </w:p>
    <w:p w14:paraId="7BC99468" w14:textId="7EE50747" w:rsidR="003B3AA7" w:rsidRPr="003B3AA7" w:rsidRDefault="003B3AA7" w:rsidP="003B3AA7">
      <w:pPr>
        <w:pStyle w:val="ListBullet"/>
      </w:pPr>
      <w:r w:rsidRPr="003B3AA7">
        <w:t>to transmit two different signals on the same frequency, thus increasing the capacity over a region; or</w:t>
      </w:r>
    </w:p>
    <w:p w14:paraId="7F4F4706" w14:textId="77C4A7FB" w:rsidR="003B3AA7" w:rsidRPr="003B3AA7" w:rsidRDefault="003B3AA7" w:rsidP="003B3AA7">
      <w:pPr>
        <w:pStyle w:val="ListBullet"/>
      </w:pPr>
      <w:r w:rsidRPr="003B3AA7">
        <w:t>to increase the isolation with respect to adjacent co-frequency beams (thus reducing interference).</w:t>
      </w:r>
    </w:p>
    <w:p w14:paraId="1F64AB17" w14:textId="01C7A05D" w:rsidR="003B3AA7" w:rsidRPr="003B3AA7" w:rsidRDefault="003B3AA7" w:rsidP="003B3AA7">
      <w:r w:rsidRPr="003B3AA7">
        <w:t xml:space="preserve">In both cases it is essential that the UE uses the correct linear polarization in </w:t>
      </w:r>
      <w:r w:rsidR="0096451B" w:rsidRPr="003B3AA7">
        <w:t xml:space="preserve">both </w:t>
      </w:r>
      <w:r w:rsidRPr="003B3AA7">
        <w:t>downlink and uplink.</w:t>
      </w:r>
    </w:p>
    <w:p w14:paraId="0294125C" w14:textId="70373FE5" w:rsidR="008849F5" w:rsidRPr="00520E88" w:rsidRDefault="008849F5" w:rsidP="008849F5">
      <w:pPr>
        <w:spacing w:before="120" w:after="120"/>
        <w:ind w:left="1418" w:hanging="1418"/>
        <w:jc w:val="both"/>
        <w:rPr>
          <w:rFonts w:eastAsia="Malgun Gothic"/>
          <w:b/>
          <w:bCs/>
        </w:rPr>
      </w:pPr>
      <w:r w:rsidRPr="00520E88">
        <w:rPr>
          <w:rFonts w:eastAsia="Malgun Gothic" w:hint="eastAsia"/>
          <w:b/>
          <w:bCs/>
        </w:rPr>
        <w:t xml:space="preserve">Observation </w:t>
      </w:r>
      <w:r>
        <w:rPr>
          <w:rFonts w:eastAsia="Malgun Gothic"/>
          <w:b/>
          <w:bCs/>
        </w:rPr>
        <w:t>2</w:t>
      </w:r>
      <w:r w:rsidRPr="00520E88">
        <w:rPr>
          <w:rFonts w:eastAsia="Malgun Gothic"/>
          <w:b/>
          <w:bCs/>
        </w:rPr>
        <w:t>:</w:t>
      </w:r>
      <w:r w:rsidRPr="00520E88">
        <w:rPr>
          <w:rFonts w:eastAsia="Malgun Gothic"/>
          <w:b/>
          <w:bCs/>
        </w:rPr>
        <w:tab/>
      </w:r>
      <w:r w:rsidR="008E6DD1">
        <w:rPr>
          <w:rFonts w:eastAsia="Malgun Gothic"/>
          <w:b/>
          <w:bCs/>
        </w:rPr>
        <w:t xml:space="preserve">A </w:t>
      </w:r>
      <w:r w:rsidRPr="008849F5">
        <w:rPr>
          <w:rFonts w:eastAsia="Malgun Gothic"/>
          <w:b/>
          <w:bCs/>
        </w:rPr>
        <w:t xml:space="preserve">VSAT UE served by </w:t>
      </w:r>
      <w:r w:rsidR="00616B3B">
        <w:rPr>
          <w:rFonts w:eastAsia="Malgun Gothic"/>
          <w:b/>
          <w:bCs/>
        </w:rPr>
        <w:t xml:space="preserve">a </w:t>
      </w:r>
      <w:r w:rsidRPr="008849F5">
        <w:rPr>
          <w:rFonts w:eastAsia="Malgun Gothic"/>
          <w:b/>
          <w:bCs/>
        </w:rPr>
        <w:t xml:space="preserve">linearly polarized </w:t>
      </w:r>
      <w:r w:rsidR="00616B3B">
        <w:rPr>
          <w:rFonts w:eastAsia="Malgun Gothic"/>
          <w:b/>
          <w:bCs/>
        </w:rPr>
        <w:t xml:space="preserve">satellite access node </w:t>
      </w:r>
      <w:r w:rsidRPr="008849F5">
        <w:rPr>
          <w:rFonts w:eastAsia="Malgun Gothic"/>
          <w:b/>
          <w:bCs/>
        </w:rPr>
        <w:t>will need to distinguish between two orthogonal linear polarizations for both downlink reception and uplink transmission</w:t>
      </w:r>
      <w:r w:rsidR="00616B3B">
        <w:rPr>
          <w:rFonts w:eastAsia="Malgun Gothic"/>
          <w:b/>
          <w:bCs/>
        </w:rPr>
        <w:t>,</w:t>
      </w:r>
      <w:r w:rsidRPr="008849F5">
        <w:rPr>
          <w:rFonts w:eastAsia="Malgun Gothic"/>
          <w:b/>
          <w:bCs/>
        </w:rPr>
        <w:t xml:space="preserve"> independently</w:t>
      </w:r>
      <w:r>
        <w:rPr>
          <w:rFonts w:eastAsia="Malgun Gothic"/>
          <w:b/>
          <w:bCs/>
        </w:rPr>
        <w:t>.</w:t>
      </w:r>
    </w:p>
    <w:p w14:paraId="4CBAF8C8" w14:textId="00401430" w:rsidR="00E81357" w:rsidRDefault="00E81357" w:rsidP="00E81357">
      <w:r>
        <w:t xml:space="preserve">This </w:t>
      </w:r>
      <w:r w:rsidR="008E6DD1">
        <w:t xml:space="preserve">would align with </w:t>
      </w:r>
      <w:r>
        <w:t>the principles specified in Rel-17 for circular polarization, by which the satellite access node signals to the UE whether RHCP or LHCP polarization orientation is to be used in the downlink and in the uplink, information without which the system would not work appropriately.</w:t>
      </w:r>
      <w:bookmarkEnd w:id="0"/>
    </w:p>
    <w:p w14:paraId="295A39B8" w14:textId="5C9B61D5" w:rsidR="002818AA" w:rsidRPr="00520E88" w:rsidRDefault="002818AA" w:rsidP="002818AA">
      <w:pPr>
        <w:spacing w:before="120" w:after="120"/>
        <w:ind w:left="1418" w:hanging="1418"/>
        <w:jc w:val="both"/>
        <w:rPr>
          <w:rFonts w:eastAsia="Malgun Gothic"/>
          <w:b/>
          <w:bCs/>
        </w:rPr>
      </w:pPr>
      <w:r w:rsidRPr="00520E88">
        <w:rPr>
          <w:rFonts w:eastAsia="Malgun Gothic" w:hint="eastAsia"/>
          <w:b/>
          <w:bCs/>
        </w:rPr>
        <w:t xml:space="preserve">Observation </w:t>
      </w:r>
      <w:r w:rsidR="00DF4D19">
        <w:rPr>
          <w:rFonts w:eastAsia="Malgun Gothic"/>
          <w:b/>
          <w:bCs/>
        </w:rPr>
        <w:t>3</w:t>
      </w:r>
      <w:r w:rsidRPr="00520E88">
        <w:rPr>
          <w:rFonts w:eastAsia="Malgun Gothic"/>
          <w:b/>
          <w:bCs/>
        </w:rPr>
        <w:t>:</w:t>
      </w:r>
      <w:r w:rsidRPr="00520E88">
        <w:rPr>
          <w:rFonts w:eastAsia="Malgun Gothic"/>
          <w:b/>
          <w:bCs/>
        </w:rPr>
        <w:tab/>
      </w:r>
      <w:r>
        <w:rPr>
          <w:rFonts w:eastAsia="Malgun Gothic"/>
          <w:b/>
          <w:bCs/>
        </w:rPr>
        <w:t xml:space="preserve">The introduction of new NR NTN operating bands - such as the Ku band in Rel-19 - is unlocking the support </w:t>
      </w:r>
      <w:r w:rsidR="009A0179">
        <w:rPr>
          <w:rFonts w:eastAsia="Malgun Gothic"/>
          <w:b/>
          <w:bCs/>
        </w:rPr>
        <w:t xml:space="preserve">by 3GPP of </w:t>
      </w:r>
      <w:r>
        <w:rPr>
          <w:rFonts w:eastAsia="Malgun Gothic"/>
          <w:b/>
          <w:bCs/>
        </w:rPr>
        <w:t>new scenarios</w:t>
      </w:r>
      <w:r w:rsidR="009A0179" w:rsidRPr="009A0179">
        <w:t xml:space="preserve"> </w:t>
      </w:r>
      <w:r w:rsidR="009A0179" w:rsidRPr="009A0179">
        <w:rPr>
          <w:b/>
          <w:bCs/>
        </w:rPr>
        <w:t>requir</w:t>
      </w:r>
      <w:r w:rsidR="00B807D7">
        <w:rPr>
          <w:b/>
          <w:bCs/>
        </w:rPr>
        <w:t>ing</w:t>
      </w:r>
      <w:r w:rsidR="009A0179" w:rsidRPr="009A0179">
        <w:rPr>
          <w:b/>
          <w:bCs/>
        </w:rPr>
        <w:t xml:space="preserve"> the signalling of additional information</w:t>
      </w:r>
      <w:r w:rsidR="00B807D7">
        <w:rPr>
          <w:b/>
          <w:bCs/>
        </w:rPr>
        <w:t xml:space="preserve"> </w:t>
      </w:r>
      <w:r w:rsidR="009A0179" w:rsidRPr="009A0179">
        <w:rPr>
          <w:b/>
          <w:bCs/>
        </w:rPr>
        <w:t xml:space="preserve">for linear polarization, more specifically whether the polarization </w:t>
      </w:r>
      <w:r w:rsidR="00B807D7">
        <w:rPr>
          <w:b/>
          <w:bCs/>
        </w:rPr>
        <w:t xml:space="preserve">used </w:t>
      </w:r>
      <w:r w:rsidR="009A0179">
        <w:rPr>
          <w:b/>
          <w:bCs/>
        </w:rPr>
        <w:t xml:space="preserve">at </w:t>
      </w:r>
      <w:r w:rsidR="009A0179" w:rsidRPr="009A0179">
        <w:rPr>
          <w:b/>
          <w:bCs/>
        </w:rPr>
        <w:t xml:space="preserve">the satellite or </w:t>
      </w:r>
      <w:r w:rsidR="009A0179">
        <w:rPr>
          <w:b/>
          <w:bCs/>
        </w:rPr>
        <w:t xml:space="preserve">at the </w:t>
      </w:r>
      <w:r w:rsidR="009A0179" w:rsidRPr="009A0179">
        <w:rPr>
          <w:b/>
          <w:bCs/>
        </w:rPr>
        <w:t xml:space="preserve">UE is either </w:t>
      </w:r>
      <w:r w:rsidR="002A0797">
        <w:rPr>
          <w:b/>
          <w:bCs/>
        </w:rPr>
        <w:t>h</w:t>
      </w:r>
      <w:r w:rsidR="009A0179" w:rsidRPr="009A0179">
        <w:rPr>
          <w:b/>
          <w:bCs/>
        </w:rPr>
        <w:t xml:space="preserve">orizontal or </w:t>
      </w:r>
      <w:r w:rsidR="002A0797">
        <w:rPr>
          <w:b/>
          <w:bCs/>
        </w:rPr>
        <w:t>v</w:t>
      </w:r>
      <w:r w:rsidR="009A0179" w:rsidRPr="009A0179">
        <w:rPr>
          <w:b/>
          <w:bCs/>
        </w:rPr>
        <w:t>ertical</w:t>
      </w:r>
      <w:r w:rsidRPr="00890FEF">
        <w:rPr>
          <w:b/>
          <w:bCs/>
        </w:rPr>
        <w:t>.</w:t>
      </w:r>
    </w:p>
    <w:p w14:paraId="0EF39FED" w14:textId="08BEBB5F" w:rsidR="00B807D7" w:rsidRDefault="00B807D7" w:rsidP="00B807D7">
      <w:pPr>
        <w:pStyle w:val="Heading2"/>
      </w:pPr>
      <w:r>
        <w:t>2.3</w:t>
      </w:r>
      <w:r>
        <w:tab/>
      </w:r>
      <w:bookmarkStart w:id="2" w:name="_Hlk213082034"/>
      <w:r>
        <w:t xml:space="preserve">Linear polarization </w:t>
      </w:r>
      <w:r w:rsidR="006346F3">
        <w:t xml:space="preserve">orientation </w:t>
      </w:r>
      <w:bookmarkEnd w:id="2"/>
      <w:r w:rsidR="006346F3">
        <w:t>RRC signalling</w:t>
      </w:r>
    </w:p>
    <w:p w14:paraId="27632392" w14:textId="500512A0" w:rsidR="006346F3" w:rsidRDefault="006346F3" w:rsidP="00DF4D19">
      <w:r>
        <w:t xml:space="preserve">As aforementioned, the </w:t>
      </w:r>
      <w:r w:rsidR="00DF4D19" w:rsidRPr="00DF4D19">
        <w:t xml:space="preserve">signalling of </w:t>
      </w:r>
      <w:r>
        <w:t xml:space="preserve">linear polarization orientation is required in the same circumstances as the </w:t>
      </w:r>
      <w:r w:rsidR="00DF4D19" w:rsidRPr="00DF4D19">
        <w:t xml:space="preserve">signalling of </w:t>
      </w:r>
      <w:r>
        <w:t>circular polarization orientation from Rel-17 onwards, that is:</w:t>
      </w:r>
    </w:p>
    <w:p w14:paraId="31D04A8E" w14:textId="65009E19" w:rsidR="006346F3" w:rsidRDefault="00365866" w:rsidP="000B4C47">
      <w:pPr>
        <w:pStyle w:val="ListBullet"/>
      </w:pPr>
      <w:r>
        <w:t xml:space="preserve">In the </w:t>
      </w:r>
      <w:r w:rsidR="00925B2D" w:rsidRPr="00E531BF">
        <w:rPr>
          <w:b/>
          <w:bCs/>
          <w:i/>
          <w:iCs/>
        </w:rPr>
        <w:t>NTN</w:t>
      </w:r>
      <w:r w:rsidR="00925B2D">
        <w:rPr>
          <w:b/>
          <w:bCs/>
          <w:i/>
          <w:iCs/>
        </w:rPr>
        <w:t>-</w:t>
      </w:r>
      <w:r w:rsidR="00925B2D" w:rsidRPr="00E531BF">
        <w:rPr>
          <w:b/>
          <w:bCs/>
          <w:i/>
          <w:iCs/>
        </w:rPr>
        <w:t>Config</w:t>
      </w:r>
      <w:r w:rsidR="00925B2D">
        <w:rPr>
          <w:i/>
          <w:iCs/>
        </w:rPr>
        <w:t xml:space="preserve"> </w:t>
      </w:r>
      <w:r w:rsidR="00E531BF">
        <w:t xml:space="preserve">information element (IE), which is further included in </w:t>
      </w:r>
      <w:r w:rsidR="00E531BF" w:rsidRPr="000B4C47">
        <w:rPr>
          <w:b/>
          <w:bCs/>
        </w:rPr>
        <w:t>SIB19</w:t>
      </w:r>
      <w:r w:rsidR="00E531BF">
        <w:t xml:space="preserve"> </w:t>
      </w:r>
      <w:r w:rsidR="000B4C47">
        <w:t>(providing serving cell as well as neighbour cells</w:t>
      </w:r>
      <w:r w:rsidR="00E531BF">
        <w:t xml:space="preserve"> </w:t>
      </w:r>
      <w:r w:rsidR="000B4C47">
        <w:t>configuration information</w:t>
      </w:r>
      <w:r w:rsidR="001635B1">
        <w:t xml:space="preserve"> to UEs</w:t>
      </w:r>
      <w:r w:rsidR="000B4C47">
        <w:t>)</w:t>
      </w:r>
      <w:r w:rsidR="004B4D73">
        <w:t>,</w:t>
      </w:r>
      <w:r w:rsidR="000B4C47">
        <w:t xml:space="preserve"> and in the </w:t>
      </w:r>
      <w:proofErr w:type="spellStart"/>
      <w:r w:rsidR="000B4C47" w:rsidRPr="000B4C47">
        <w:rPr>
          <w:b/>
          <w:bCs/>
          <w:i/>
          <w:iCs/>
        </w:rPr>
        <w:t>ServingCellConfigCommon</w:t>
      </w:r>
      <w:proofErr w:type="spellEnd"/>
      <w:r w:rsidR="000B4C47" w:rsidRPr="000B4C47">
        <w:rPr>
          <w:i/>
          <w:iCs/>
        </w:rPr>
        <w:t xml:space="preserve"> </w:t>
      </w:r>
      <w:r w:rsidR="000B4C47" w:rsidRPr="000B4C47">
        <w:t>IE</w:t>
      </w:r>
      <w:r w:rsidR="00992FA8">
        <w:t xml:space="preserve"> (typically used to provide cell information to a UE via dedicated signalling - e.g. </w:t>
      </w:r>
      <w:r w:rsidR="00932F26">
        <w:t>in case</w:t>
      </w:r>
      <w:r w:rsidR="00700C7F">
        <w:t xml:space="preserve"> </w:t>
      </w:r>
      <w:r w:rsidR="00932F26">
        <w:t xml:space="preserve">of </w:t>
      </w:r>
      <w:r w:rsidR="00700C7F">
        <w:t>mobility</w:t>
      </w:r>
      <w:r w:rsidR="00932F26">
        <w:t xml:space="preserve"> scenarios</w:t>
      </w:r>
      <w:r w:rsidR="00992FA8">
        <w:t>)</w:t>
      </w:r>
    </w:p>
    <w:p w14:paraId="48199823" w14:textId="3716CDD8" w:rsidR="00992FA8" w:rsidRDefault="00932F26" w:rsidP="009B21DE">
      <w:pPr>
        <w:pStyle w:val="ListBullet"/>
      </w:pPr>
      <w:r>
        <w:t xml:space="preserve">In the </w:t>
      </w:r>
      <w:proofErr w:type="spellStart"/>
      <w:r w:rsidRPr="00477B7B">
        <w:rPr>
          <w:b/>
          <w:bCs/>
          <w:i/>
          <w:iCs/>
        </w:rPr>
        <w:t>CellsToAddModExt</w:t>
      </w:r>
      <w:proofErr w:type="spellEnd"/>
      <w:r>
        <w:t xml:space="preserve"> IE, which is further included in </w:t>
      </w:r>
      <w:proofErr w:type="spellStart"/>
      <w:r w:rsidR="00477B7B" w:rsidRPr="00477B7B">
        <w:rPr>
          <w:b/>
          <w:bCs/>
          <w:i/>
          <w:iCs/>
        </w:rPr>
        <w:t>MeasObjectNR</w:t>
      </w:r>
      <w:proofErr w:type="spellEnd"/>
      <w:r w:rsidR="00477B7B" w:rsidRPr="00477B7B">
        <w:rPr>
          <w:b/>
          <w:bCs/>
        </w:rPr>
        <w:t xml:space="preserve"> </w:t>
      </w:r>
      <w:r w:rsidR="009B21DE">
        <w:rPr>
          <w:b/>
          <w:bCs/>
        </w:rPr>
        <w:t xml:space="preserve">&gt; </w:t>
      </w:r>
      <w:proofErr w:type="spellStart"/>
      <w:r w:rsidR="009B21DE" w:rsidRPr="00BF6762">
        <w:rPr>
          <w:b/>
          <w:bCs/>
          <w:i/>
          <w:iCs/>
        </w:rPr>
        <w:t>cellsToAddModListExt</w:t>
      </w:r>
      <w:proofErr w:type="spellEnd"/>
      <w:r w:rsidR="009B21DE" w:rsidRPr="009B21DE">
        <w:rPr>
          <w:b/>
          <w:bCs/>
        </w:rPr>
        <w:t xml:space="preserve"> </w:t>
      </w:r>
      <w:r w:rsidR="00477B7B" w:rsidRPr="00477B7B">
        <w:t>IE</w:t>
      </w:r>
      <w:r w:rsidR="00477B7B">
        <w:t xml:space="preserve"> </w:t>
      </w:r>
      <w:r>
        <w:t xml:space="preserve">(providing </w:t>
      </w:r>
      <w:r w:rsidR="00477B7B" w:rsidRPr="00477B7B">
        <w:t>intra/inter-frequency measurements</w:t>
      </w:r>
      <w:r w:rsidR="00477B7B">
        <w:t xml:space="preserve"> information to the UEs</w:t>
      </w:r>
      <w:r>
        <w:t>)</w:t>
      </w:r>
      <w:r w:rsidR="00477B7B">
        <w:t>.</w:t>
      </w:r>
    </w:p>
    <w:p w14:paraId="1CA60CC9" w14:textId="77777777" w:rsidR="00E11672" w:rsidRDefault="00E11672" w:rsidP="00E531BF">
      <w:pPr>
        <w:pStyle w:val="ListBullet"/>
        <w:numPr>
          <w:ilvl w:val="0"/>
          <w:numId w:val="0"/>
        </w:numPr>
      </w:pPr>
    </w:p>
    <w:p w14:paraId="2C2F32EE" w14:textId="69C893FF" w:rsidR="002948C0" w:rsidRDefault="002948C0" w:rsidP="00E531BF">
      <w:pPr>
        <w:pStyle w:val="ListBullet"/>
        <w:numPr>
          <w:ilvl w:val="0"/>
          <w:numId w:val="0"/>
        </w:numPr>
      </w:pPr>
      <w:r>
        <w:t xml:space="preserve">It is therefore proposed to add </w:t>
      </w:r>
      <w:r w:rsidR="0006291A">
        <w:t xml:space="preserve">an optional Rel-19 </w:t>
      </w:r>
      <w:r>
        <w:t xml:space="preserve">extension for conveying </w:t>
      </w:r>
      <w:r w:rsidR="00157E1A">
        <w:t>h</w:t>
      </w:r>
      <w:r w:rsidR="008E6DD1">
        <w:t xml:space="preserve">orizontal or </w:t>
      </w:r>
      <w:r w:rsidR="00157E1A">
        <w:t>v</w:t>
      </w:r>
      <w:r w:rsidR="008E6DD1">
        <w:t>ertical</w:t>
      </w:r>
      <w:r w:rsidR="0006291A">
        <w:t xml:space="preserve"> polarization orientation </w:t>
      </w:r>
      <w:r w:rsidR="00E83565">
        <w:t xml:space="preserve">(e.g. </w:t>
      </w:r>
      <w:proofErr w:type="spellStart"/>
      <w:r w:rsidR="00E83565" w:rsidRPr="00157E1A">
        <w:rPr>
          <w:b/>
          <w:bCs/>
          <w:i/>
          <w:iCs/>
        </w:rPr>
        <w:t>xlp</w:t>
      </w:r>
      <w:proofErr w:type="spellEnd"/>
      <w:r w:rsidR="00E83565">
        <w:t xml:space="preserve"> or </w:t>
      </w:r>
      <w:proofErr w:type="spellStart"/>
      <w:r w:rsidR="00E83565" w:rsidRPr="00157E1A">
        <w:rPr>
          <w:b/>
          <w:bCs/>
          <w:i/>
          <w:iCs/>
        </w:rPr>
        <w:t>ylp</w:t>
      </w:r>
      <w:proofErr w:type="spellEnd"/>
      <w:r w:rsidR="00157E1A" w:rsidRPr="00157E1A">
        <w:t>, respectively</w:t>
      </w:r>
      <w:r w:rsidR="00CA26F3">
        <w:t xml:space="preserve"> referring to X or Y polarization - see subclause 2.2</w:t>
      </w:r>
      <w:r w:rsidR="00E83565">
        <w:t xml:space="preserve">) </w:t>
      </w:r>
      <w:r w:rsidR="0006291A">
        <w:t>in the identified IEs (</w:t>
      </w:r>
      <w:r w:rsidR="00925B2D" w:rsidRPr="00E531BF">
        <w:rPr>
          <w:b/>
          <w:bCs/>
          <w:i/>
          <w:iCs/>
        </w:rPr>
        <w:t>NTN</w:t>
      </w:r>
      <w:r w:rsidR="00925B2D">
        <w:rPr>
          <w:b/>
          <w:bCs/>
          <w:i/>
          <w:iCs/>
        </w:rPr>
        <w:t>-</w:t>
      </w:r>
      <w:r w:rsidR="00925B2D" w:rsidRPr="00E531BF">
        <w:rPr>
          <w:b/>
          <w:bCs/>
          <w:i/>
          <w:iCs/>
        </w:rPr>
        <w:t>Config</w:t>
      </w:r>
      <w:r w:rsidR="00925B2D">
        <w:rPr>
          <w:i/>
          <w:iCs/>
        </w:rPr>
        <w:t xml:space="preserve"> </w:t>
      </w:r>
      <w:r w:rsidR="0006291A" w:rsidRPr="0006291A">
        <w:t>and</w:t>
      </w:r>
      <w:r w:rsidR="0006291A">
        <w:rPr>
          <w:b/>
          <w:bCs/>
          <w:i/>
          <w:iCs/>
        </w:rPr>
        <w:t xml:space="preserve"> </w:t>
      </w:r>
      <w:proofErr w:type="spellStart"/>
      <w:r w:rsidR="0006291A" w:rsidRPr="00477B7B">
        <w:rPr>
          <w:b/>
          <w:bCs/>
          <w:i/>
          <w:iCs/>
        </w:rPr>
        <w:t>CellsToAddModExt</w:t>
      </w:r>
      <w:proofErr w:type="spellEnd"/>
      <w:r w:rsidR="0006291A">
        <w:t>) when linear polarization is signa</w:t>
      </w:r>
      <w:r w:rsidR="00BA2738">
        <w:t>l</w:t>
      </w:r>
      <w:r w:rsidR="0006291A">
        <w:t>led as part of the exi</w:t>
      </w:r>
      <w:r w:rsidR="00BA2738">
        <w:t>s</w:t>
      </w:r>
      <w:r w:rsidR="0006291A">
        <w:t xml:space="preserve">ting Rel-17 </w:t>
      </w:r>
      <w:r w:rsidR="00BA2738">
        <w:t>parameters.</w:t>
      </w:r>
    </w:p>
    <w:p w14:paraId="407904CC" w14:textId="77777777" w:rsidR="0006291A" w:rsidRDefault="0006291A" w:rsidP="00E531BF">
      <w:pPr>
        <w:pStyle w:val="ListBullet"/>
        <w:numPr>
          <w:ilvl w:val="0"/>
          <w:numId w:val="0"/>
        </w:numPr>
      </w:pPr>
    </w:p>
    <w:p w14:paraId="39520C9B" w14:textId="6AB87ADD" w:rsidR="00477B7B" w:rsidRDefault="009B21DE" w:rsidP="00E531BF">
      <w:pPr>
        <w:pStyle w:val="ListBullet"/>
        <w:numPr>
          <w:ilvl w:val="0"/>
          <w:numId w:val="0"/>
        </w:numPr>
      </w:pPr>
      <w:r>
        <w:t xml:space="preserve">NOTE: </w:t>
      </w:r>
      <w:r w:rsidR="00BF6762">
        <w:t xml:space="preserve">while both downlink and uplink polarizations </w:t>
      </w:r>
      <w:r w:rsidR="002948C0">
        <w:t xml:space="preserve">are provisioned </w:t>
      </w:r>
      <w:r w:rsidR="00BF6762">
        <w:t xml:space="preserve">independently in the </w:t>
      </w:r>
      <w:r w:rsidR="00BA2738">
        <w:t xml:space="preserve">two </w:t>
      </w:r>
      <w:r w:rsidR="00BF6762">
        <w:t xml:space="preserve">listed Rel-17 IEs, only </w:t>
      </w:r>
      <w:r w:rsidR="002948C0">
        <w:t xml:space="preserve">the </w:t>
      </w:r>
      <w:r w:rsidR="00BF6762">
        <w:t>downlin</w:t>
      </w:r>
      <w:r w:rsidR="002948C0">
        <w:t>k information is useful / used for measurement</w:t>
      </w:r>
      <w:r w:rsidR="00CA26F3">
        <w:t xml:space="preserve"> object</w:t>
      </w:r>
      <w:r w:rsidR="002948C0">
        <w:t xml:space="preserve">s. </w:t>
      </w:r>
    </w:p>
    <w:p w14:paraId="73359959" w14:textId="77777777" w:rsidR="001F513F" w:rsidRDefault="001F513F" w:rsidP="00E531BF">
      <w:pPr>
        <w:pStyle w:val="ListBullet"/>
        <w:numPr>
          <w:ilvl w:val="0"/>
          <w:numId w:val="0"/>
        </w:numPr>
      </w:pPr>
    </w:p>
    <w:p w14:paraId="04C9D61D" w14:textId="563B5D36" w:rsidR="001F513F" w:rsidRPr="00BA2738" w:rsidRDefault="001F513F" w:rsidP="00E531BF">
      <w:pPr>
        <w:pStyle w:val="ListBullet"/>
        <w:numPr>
          <w:ilvl w:val="0"/>
          <w:numId w:val="0"/>
        </w:numPr>
      </w:pPr>
      <w:r>
        <w:t xml:space="preserve">A corresponding CR to TS 38.331 is </w:t>
      </w:r>
      <w:r w:rsidR="00C128A3">
        <w:t xml:space="preserve">provided </w:t>
      </w:r>
      <w:r>
        <w:t>in [</w:t>
      </w:r>
      <w:r w:rsidR="002C7F08">
        <w:t>5</w:t>
      </w:r>
      <w:r>
        <w:t>].</w:t>
      </w:r>
    </w:p>
    <w:p w14:paraId="0971EBA9" w14:textId="2EBB674E" w:rsidR="00157E1A" w:rsidRDefault="00157E1A" w:rsidP="00157E1A">
      <w:pPr>
        <w:spacing w:before="120" w:after="120"/>
        <w:ind w:left="1418" w:hanging="1418"/>
        <w:jc w:val="both"/>
        <w:rPr>
          <w:rFonts w:eastAsia="Malgun Gothic"/>
          <w:b/>
          <w:bCs/>
        </w:rPr>
      </w:pPr>
      <w:r>
        <w:rPr>
          <w:rFonts w:eastAsia="Malgun Gothic"/>
          <w:b/>
          <w:bCs/>
        </w:rPr>
        <w:t>Proposal</w:t>
      </w:r>
      <w:r w:rsidRPr="00520E88">
        <w:rPr>
          <w:rFonts w:eastAsia="Malgun Gothic" w:hint="eastAsia"/>
          <w:b/>
          <w:bCs/>
        </w:rPr>
        <w:t xml:space="preserve"> </w:t>
      </w:r>
      <w:r>
        <w:rPr>
          <w:rFonts w:eastAsia="Malgun Gothic"/>
          <w:b/>
          <w:bCs/>
        </w:rPr>
        <w:t>1</w:t>
      </w:r>
      <w:r w:rsidRPr="00520E88">
        <w:rPr>
          <w:rFonts w:eastAsia="Malgun Gothic"/>
          <w:b/>
          <w:bCs/>
        </w:rPr>
        <w:t>:</w:t>
      </w:r>
      <w:r w:rsidRPr="00520E88">
        <w:rPr>
          <w:rFonts w:eastAsia="Malgun Gothic"/>
          <w:b/>
          <w:bCs/>
        </w:rPr>
        <w:tab/>
      </w:r>
      <w:r>
        <w:rPr>
          <w:rFonts w:eastAsia="Malgun Gothic"/>
          <w:b/>
          <w:bCs/>
        </w:rPr>
        <w:t>It is proposed to introduce Rel-19 optional extensions to signal, in the relevant IEs, one of the two horizontal / vertical polarization orientations when "</w:t>
      </w:r>
      <w:r w:rsidRPr="00BE08A5">
        <w:rPr>
          <w:rFonts w:eastAsia="Malgun Gothic"/>
          <w:b/>
          <w:bCs/>
          <w:i/>
          <w:iCs/>
        </w:rPr>
        <w:t>linear</w:t>
      </w:r>
      <w:r>
        <w:rPr>
          <w:rFonts w:eastAsia="Malgun Gothic"/>
          <w:b/>
          <w:bCs/>
        </w:rPr>
        <w:t>" polarization is signalled as part of the Rel-17 signalling. The considered IEs are:</w:t>
      </w:r>
    </w:p>
    <w:p w14:paraId="726A7B5F" w14:textId="7951C5D6" w:rsidR="00157E1A" w:rsidRPr="00520E88" w:rsidRDefault="00157E1A" w:rsidP="00157E1A">
      <w:pPr>
        <w:spacing w:before="120" w:after="120"/>
        <w:ind w:left="1418"/>
        <w:jc w:val="both"/>
        <w:rPr>
          <w:rFonts w:eastAsia="Malgun Gothic"/>
          <w:b/>
          <w:bCs/>
        </w:rPr>
      </w:pPr>
      <w:r>
        <w:rPr>
          <w:b/>
          <w:bCs/>
          <w:i/>
          <w:iCs/>
        </w:rPr>
        <w:t xml:space="preserve">- </w:t>
      </w:r>
      <w:r w:rsidR="00925B2D" w:rsidRPr="00E531BF">
        <w:rPr>
          <w:b/>
          <w:bCs/>
          <w:i/>
          <w:iCs/>
        </w:rPr>
        <w:t>NTN</w:t>
      </w:r>
      <w:r w:rsidR="00925B2D">
        <w:rPr>
          <w:b/>
          <w:bCs/>
          <w:i/>
          <w:iCs/>
        </w:rPr>
        <w:t>-</w:t>
      </w:r>
      <w:r w:rsidR="00925B2D" w:rsidRPr="00E531BF">
        <w:rPr>
          <w:b/>
          <w:bCs/>
          <w:i/>
          <w:iCs/>
        </w:rPr>
        <w:t>Config</w:t>
      </w:r>
      <w:r w:rsidR="00925B2D">
        <w:rPr>
          <w:i/>
          <w:iCs/>
        </w:rPr>
        <w:t xml:space="preserve"> </w:t>
      </w:r>
      <w:r w:rsidRPr="00594F6C">
        <w:rPr>
          <w:b/>
          <w:bCs/>
        </w:rPr>
        <w:t>IE</w:t>
      </w:r>
      <w:r w:rsidRPr="00594F6C">
        <w:rPr>
          <w:rFonts w:eastAsia="Malgun Gothic"/>
          <w:b/>
          <w:bCs/>
          <w:i/>
          <w:iCs/>
        </w:rPr>
        <w:t xml:space="preserve"> </w:t>
      </w:r>
      <w:r w:rsidRPr="00594F6C">
        <w:rPr>
          <w:rFonts w:eastAsia="Malgun Gothic"/>
          <w:b/>
          <w:bCs/>
        </w:rPr>
        <w:t>(</w:t>
      </w:r>
      <w:r>
        <w:rPr>
          <w:rFonts w:eastAsia="Malgun Gothic"/>
          <w:b/>
          <w:bCs/>
        </w:rPr>
        <w:t>it shall be possible to signal DL and UL polarizations independently),</w:t>
      </w:r>
    </w:p>
    <w:p w14:paraId="7A0BE890" w14:textId="77777777" w:rsidR="00157E1A" w:rsidRPr="00520E88" w:rsidRDefault="00157E1A" w:rsidP="00157E1A">
      <w:pPr>
        <w:spacing w:before="120" w:after="120"/>
        <w:ind w:left="1418"/>
        <w:jc w:val="both"/>
        <w:rPr>
          <w:rFonts w:eastAsia="Malgun Gothic"/>
          <w:b/>
          <w:bCs/>
        </w:rPr>
      </w:pPr>
      <w:r>
        <w:rPr>
          <w:b/>
          <w:bCs/>
          <w:i/>
          <w:iCs/>
        </w:rPr>
        <w:t xml:space="preserve">- </w:t>
      </w:r>
      <w:proofErr w:type="spellStart"/>
      <w:r w:rsidRPr="00477B7B">
        <w:rPr>
          <w:b/>
          <w:bCs/>
          <w:i/>
          <w:iCs/>
        </w:rPr>
        <w:t>CellsToAddModExt</w:t>
      </w:r>
      <w:proofErr w:type="spellEnd"/>
      <w:r>
        <w:rPr>
          <w:rFonts w:eastAsia="Malgun Gothic"/>
          <w:b/>
          <w:bCs/>
        </w:rPr>
        <w:t xml:space="preserve"> </w:t>
      </w:r>
      <w:r w:rsidRPr="00594F6C">
        <w:rPr>
          <w:b/>
          <w:bCs/>
        </w:rPr>
        <w:t>IE</w:t>
      </w:r>
      <w:r w:rsidRPr="00594F6C">
        <w:rPr>
          <w:rFonts w:eastAsia="Malgun Gothic"/>
          <w:b/>
          <w:bCs/>
          <w:i/>
          <w:iCs/>
        </w:rPr>
        <w:t xml:space="preserve"> </w:t>
      </w:r>
      <w:r>
        <w:rPr>
          <w:rFonts w:eastAsia="Malgun Gothic"/>
          <w:b/>
          <w:bCs/>
        </w:rPr>
        <w:t>(only DL polarization orientation is required).</w:t>
      </w:r>
    </w:p>
    <w:p w14:paraId="52592082" w14:textId="74B8DDBF" w:rsidR="00B807D7" w:rsidRDefault="00B807D7" w:rsidP="00B807D7">
      <w:pPr>
        <w:pStyle w:val="Heading2"/>
      </w:pPr>
      <w:r>
        <w:t>2.4</w:t>
      </w:r>
      <w:r>
        <w:tab/>
        <w:t>UE capabilities for linear polarization</w:t>
      </w:r>
    </w:p>
    <w:p w14:paraId="3C8A35FB" w14:textId="655853D1" w:rsidR="0060016C" w:rsidRDefault="00DE4DFF" w:rsidP="00124CF0">
      <w:r>
        <w:t>In Rel-17, it has been decided that the "</w:t>
      </w:r>
      <w:r w:rsidRPr="00DE4DFF">
        <w:rPr>
          <w:b/>
        </w:rPr>
        <w:t>Support of polarization signalling in NR NTN</w:t>
      </w:r>
      <w:r>
        <w:rPr>
          <w:b/>
        </w:rPr>
        <w:t xml:space="preserve">" </w:t>
      </w:r>
      <w:r w:rsidRPr="00DE4DFF">
        <w:t xml:space="preserve">was </w:t>
      </w:r>
      <w:r>
        <w:t xml:space="preserve">an optional feature </w:t>
      </w:r>
      <w:r w:rsidR="00124CF0">
        <w:t>"</w:t>
      </w:r>
      <w:r w:rsidR="00124CF0" w:rsidRPr="00124CF0">
        <w:t>without UE radio access capability parameters</w:t>
      </w:r>
      <w:r w:rsidR="00124CF0">
        <w:t>" (see [</w:t>
      </w:r>
      <w:r w:rsidR="002C7F08">
        <w:t>4</w:t>
      </w:r>
      <w:r w:rsidR="00124CF0">
        <w:t>]</w:t>
      </w:r>
      <w:r w:rsidR="00771979">
        <w:t xml:space="preserve"> </w:t>
      </w:r>
      <w:r w:rsidR="00124CF0">
        <w:t>(</w:t>
      </w:r>
      <w:r w:rsidR="00124CF0" w:rsidRPr="00D95E55">
        <w:t>TS 38.</w:t>
      </w:r>
      <w:r w:rsidR="00124CF0">
        <w:t xml:space="preserve">306 - </w:t>
      </w:r>
      <w:r w:rsidR="00771979">
        <w:t>clause</w:t>
      </w:r>
      <w:r w:rsidR="00124CF0">
        <w:t xml:space="preserve"> 5).</w:t>
      </w:r>
    </w:p>
    <w:p w14:paraId="2D304407" w14:textId="562150C1" w:rsidR="00124CF0" w:rsidRDefault="00124CF0" w:rsidP="00124CF0">
      <w:r>
        <w:lastRenderedPageBreak/>
        <w:t>It is therefore suggested that the same principles should apply for the Rel-19 extensions herein proposed.</w:t>
      </w:r>
    </w:p>
    <w:p w14:paraId="379957F9" w14:textId="21A4CB9D" w:rsidR="0040191E" w:rsidRDefault="001F513F" w:rsidP="00124CF0">
      <w:pPr>
        <w:spacing w:before="120" w:after="120"/>
        <w:ind w:left="1418" w:hanging="1418"/>
        <w:jc w:val="both"/>
      </w:pPr>
      <w:r>
        <w:t xml:space="preserve">A corresponding CR to TS 38.306 is </w:t>
      </w:r>
      <w:r w:rsidR="00C128A3">
        <w:t xml:space="preserve">provided </w:t>
      </w:r>
      <w:r>
        <w:t>in [</w:t>
      </w:r>
      <w:r w:rsidR="002C7F08">
        <w:t>6</w:t>
      </w:r>
      <w:r>
        <w:t>].</w:t>
      </w:r>
    </w:p>
    <w:p w14:paraId="571B40CB" w14:textId="76FAB3A1" w:rsidR="00124CF0" w:rsidRDefault="00124CF0" w:rsidP="00124CF0">
      <w:pPr>
        <w:spacing w:before="120" w:after="120"/>
        <w:ind w:left="1418" w:hanging="1418"/>
        <w:jc w:val="both"/>
        <w:rPr>
          <w:rFonts w:eastAsia="Malgun Gothic"/>
          <w:b/>
          <w:bCs/>
        </w:rPr>
      </w:pPr>
      <w:r>
        <w:rPr>
          <w:rFonts w:eastAsia="Malgun Gothic"/>
          <w:b/>
          <w:bCs/>
        </w:rPr>
        <w:t>Proposal</w:t>
      </w:r>
      <w:r w:rsidRPr="00520E88">
        <w:rPr>
          <w:rFonts w:eastAsia="Malgun Gothic" w:hint="eastAsia"/>
          <w:b/>
          <w:bCs/>
        </w:rPr>
        <w:t xml:space="preserve"> </w:t>
      </w:r>
      <w:r>
        <w:rPr>
          <w:rFonts w:eastAsia="Malgun Gothic"/>
          <w:b/>
          <w:bCs/>
        </w:rPr>
        <w:t>2</w:t>
      </w:r>
      <w:r w:rsidRPr="00520E88">
        <w:rPr>
          <w:rFonts w:eastAsia="Malgun Gothic"/>
          <w:b/>
          <w:bCs/>
        </w:rPr>
        <w:t>:</w:t>
      </w:r>
      <w:r w:rsidRPr="00520E88">
        <w:rPr>
          <w:rFonts w:eastAsia="Malgun Gothic"/>
          <w:b/>
          <w:bCs/>
        </w:rPr>
        <w:tab/>
      </w:r>
      <w:r>
        <w:rPr>
          <w:rFonts w:eastAsia="Malgun Gothic"/>
          <w:b/>
          <w:bCs/>
        </w:rPr>
        <w:t xml:space="preserve">It is proposed that the support by the UE of the </w:t>
      </w:r>
      <w:bookmarkStart w:id="3" w:name="_Hlk213184354"/>
      <w:r>
        <w:rPr>
          <w:rFonts w:eastAsia="Malgun Gothic"/>
          <w:b/>
          <w:bCs/>
        </w:rPr>
        <w:t xml:space="preserve">Rel-19 optional </w:t>
      </w:r>
      <w:r w:rsidR="00706A93">
        <w:rPr>
          <w:rFonts w:eastAsia="Malgun Gothic"/>
          <w:b/>
          <w:bCs/>
        </w:rPr>
        <w:t xml:space="preserve">signalling </w:t>
      </w:r>
      <w:r>
        <w:rPr>
          <w:rFonts w:eastAsia="Malgun Gothic"/>
          <w:b/>
          <w:bCs/>
        </w:rPr>
        <w:t xml:space="preserve">extensions to </w:t>
      </w:r>
      <w:r w:rsidR="00706A93">
        <w:rPr>
          <w:rFonts w:eastAsia="Malgun Gothic"/>
          <w:b/>
          <w:bCs/>
        </w:rPr>
        <w:t xml:space="preserve">provide the </w:t>
      </w:r>
      <w:r>
        <w:rPr>
          <w:rFonts w:eastAsia="Malgun Gothic"/>
          <w:b/>
          <w:bCs/>
        </w:rPr>
        <w:t>linear polarization orientation</w:t>
      </w:r>
      <w:r w:rsidR="00706A93">
        <w:rPr>
          <w:rFonts w:eastAsia="Malgun Gothic"/>
          <w:b/>
          <w:bCs/>
        </w:rPr>
        <w:t xml:space="preserve"> to the UE</w:t>
      </w:r>
      <w:r w:rsidR="0040191E">
        <w:rPr>
          <w:rFonts w:eastAsia="Malgun Gothic"/>
          <w:b/>
          <w:bCs/>
        </w:rPr>
        <w:t>,</w:t>
      </w:r>
      <w:r w:rsidR="00706A93">
        <w:rPr>
          <w:rFonts w:eastAsia="Malgun Gothic"/>
          <w:b/>
          <w:bCs/>
        </w:rPr>
        <w:t xml:space="preserve"> as defined by Proposal 1</w:t>
      </w:r>
      <w:r w:rsidR="0040191E">
        <w:rPr>
          <w:rFonts w:eastAsia="Malgun Gothic"/>
          <w:b/>
          <w:bCs/>
        </w:rPr>
        <w:t>,</w:t>
      </w:r>
      <w:r w:rsidR="00706A93">
        <w:rPr>
          <w:rFonts w:eastAsia="Malgun Gothic"/>
          <w:b/>
          <w:bCs/>
        </w:rPr>
        <w:t xml:space="preserve"> is </w:t>
      </w:r>
      <w:r w:rsidR="00706A93" w:rsidRPr="00706A93">
        <w:rPr>
          <w:b/>
          <w:bCs/>
        </w:rPr>
        <w:t>an optional feature without UE radio access capability parameters</w:t>
      </w:r>
      <w:bookmarkEnd w:id="3"/>
      <w:r w:rsidR="00706A93">
        <w:rPr>
          <w:b/>
          <w:bCs/>
        </w:rPr>
        <w:t>.</w:t>
      </w:r>
    </w:p>
    <w:p w14:paraId="16CB5684" w14:textId="77777777" w:rsidR="008B549E" w:rsidRPr="00290C2E" w:rsidRDefault="008B549E" w:rsidP="008B549E">
      <w:pPr>
        <w:pStyle w:val="Heading1"/>
      </w:pPr>
      <w:r w:rsidRPr="00290C2E">
        <w:t>3</w:t>
      </w:r>
      <w:r w:rsidRPr="00290C2E">
        <w:tab/>
        <w:t>Conclusion</w:t>
      </w:r>
    </w:p>
    <w:p w14:paraId="724D0939" w14:textId="689F1948" w:rsidR="00706A93" w:rsidRPr="00290C2E" w:rsidRDefault="00706A93" w:rsidP="00706A93">
      <w:r>
        <w:t xml:space="preserve">This contribution </w:t>
      </w:r>
      <w:r w:rsidR="00D45E9F">
        <w:t>made</w:t>
      </w:r>
      <w:r>
        <w:t xml:space="preserve"> the following observations and proposals:</w:t>
      </w:r>
    </w:p>
    <w:p w14:paraId="0DE29ED8" w14:textId="77777777" w:rsidR="0041618B" w:rsidRPr="00520E88" w:rsidRDefault="0041618B" w:rsidP="0041618B">
      <w:pPr>
        <w:spacing w:before="120" w:after="120"/>
        <w:ind w:left="1418" w:hanging="1418"/>
        <w:jc w:val="both"/>
        <w:rPr>
          <w:rFonts w:eastAsia="Malgun Gothic"/>
          <w:b/>
          <w:bCs/>
        </w:rPr>
      </w:pPr>
      <w:r w:rsidRPr="00520E88">
        <w:rPr>
          <w:rFonts w:eastAsia="Malgun Gothic" w:hint="eastAsia"/>
          <w:b/>
          <w:bCs/>
        </w:rPr>
        <w:t>Observation 1</w:t>
      </w:r>
      <w:r w:rsidRPr="00520E88">
        <w:rPr>
          <w:rFonts w:eastAsia="Malgun Gothic"/>
          <w:b/>
          <w:bCs/>
        </w:rPr>
        <w:t>:</w:t>
      </w:r>
      <w:r w:rsidRPr="00520E88">
        <w:rPr>
          <w:rFonts w:eastAsia="Malgun Gothic"/>
          <w:b/>
          <w:bCs/>
        </w:rPr>
        <w:tab/>
      </w:r>
      <w:r w:rsidRPr="00890FEF">
        <w:rPr>
          <w:b/>
          <w:bCs/>
        </w:rPr>
        <w:t xml:space="preserve">Considering a typical use of circular polarization for initial NR NTN use cases, signalling </w:t>
      </w:r>
      <w:r>
        <w:rPr>
          <w:b/>
          <w:bCs/>
        </w:rPr>
        <w:t xml:space="preserve">one of </w:t>
      </w:r>
      <w:proofErr w:type="spellStart"/>
      <w:r w:rsidRPr="008317A7">
        <w:rPr>
          <w:b/>
          <w:bCs/>
          <w:i/>
          <w:iCs/>
          <w:u w:val="single"/>
        </w:rPr>
        <w:t>rhcp</w:t>
      </w:r>
      <w:proofErr w:type="spellEnd"/>
      <w:r>
        <w:rPr>
          <w:b/>
          <w:bCs/>
          <w:i/>
          <w:iCs/>
        </w:rPr>
        <w:t xml:space="preserve">, </w:t>
      </w:r>
      <w:proofErr w:type="spellStart"/>
      <w:r w:rsidRPr="008317A7">
        <w:rPr>
          <w:b/>
          <w:bCs/>
          <w:i/>
          <w:iCs/>
          <w:u w:val="single"/>
        </w:rPr>
        <w:t>lhcp</w:t>
      </w:r>
      <w:proofErr w:type="spellEnd"/>
      <w:r>
        <w:rPr>
          <w:b/>
          <w:bCs/>
          <w:i/>
          <w:iCs/>
        </w:rPr>
        <w:t xml:space="preserve"> </w:t>
      </w:r>
      <w:r w:rsidRPr="008317A7">
        <w:rPr>
          <w:b/>
          <w:bCs/>
        </w:rPr>
        <w:t>and</w:t>
      </w:r>
      <w:r w:rsidRPr="00890FEF">
        <w:rPr>
          <w:b/>
          <w:bCs/>
        </w:rPr>
        <w:t xml:space="preserve"> </w:t>
      </w:r>
      <w:r w:rsidRPr="008317A7">
        <w:rPr>
          <w:b/>
          <w:bCs/>
          <w:i/>
          <w:iCs/>
          <w:u w:val="single"/>
        </w:rPr>
        <w:t>linear</w:t>
      </w:r>
      <w:r w:rsidRPr="00890FEF">
        <w:rPr>
          <w:b/>
          <w:bCs/>
        </w:rPr>
        <w:t xml:space="preserve"> </w:t>
      </w:r>
      <w:r>
        <w:rPr>
          <w:b/>
          <w:bCs/>
        </w:rPr>
        <w:t xml:space="preserve">values </w:t>
      </w:r>
      <w:r w:rsidRPr="00890FEF">
        <w:rPr>
          <w:b/>
          <w:bCs/>
        </w:rPr>
        <w:t xml:space="preserve">by the satellite network to the UE </w:t>
      </w:r>
      <w:r>
        <w:rPr>
          <w:b/>
          <w:bCs/>
        </w:rPr>
        <w:t>was deemed</w:t>
      </w:r>
      <w:r w:rsidRPr="00890FEF">
        <w:rPr>
          <w:b/>
          <w:bCs/>
        </w:rPr>
        <w:t xml:space="preserve"> sufficient to properly support NR NTN transmission in Rel-17 or Rel-18.</w:t>
      </w:r>
    </w:p>
    <w:p w14:paraId="545C9B4D" w14:textId="77777777" w:rsidR="0041618B" w:rsidRPr="00520E88" w:rsidRDefault="0041618B" w:rsidP="0041618B">
      <w:pPr>
        <w:spacing w:before="120" w:after="120"/>
        <w:ind w:left="1418" w:hanging="1418"/>
        <w:jc w:val="both"/>
        <w:rPr>
          <w:rFonts w:eastAsia="Malgun Gothic"/>
          <w:b/>
          <w:bCs/>
        </w:rPr>
      </w:pPr>
      <w:r w:rsidRPr="00520E88">
        <w:rPr>
          <w:rFonts w:eastAsia="Malgun Gothic" w:hint="eastAsia"/>
          <w:b/>
          <w:bCs/>
        </w:rPr>
        <w:t xml:space="preserve">Observation </w:t>
      </w:r>
      <w:r>
        <w:rPr>
          <w:rFonts w:eastAsia="Malgun Gothic"/>
          <w:b/>
          <w:bCs/>
        </w:rPr>
        <w:t>2</w:t>
      </w:r>
      <w:r w:rsidRPr="00520E88">
        <w:rPr>
          <w:rFonts w:eastAsia="Malgun Gothic"/>
          <w:b/>
          <w:bCs/>
        </w:rPr>
        <w:t>:</w:t>
      </w:r>
      <w:r w:rsidRPr="00520E88">
        <w:rPr>
          <w:rFonts w:eastAsia="Malgun Gothic"/>
          <w:b/>
          <w:bCs/>
        </w:rPr>
        <w:tab/>
      </w:r>
      <w:r>
        <w:rPr>
          <w:rFonts w:eastAsia="Malgun Gothic"/>
          <w:b/>
          <w:bCs/>
        </w:rPr>
        <w:t xml:space="preserve">A </w:t>
      </w:r>
      <w:r w:rsidRPr="008849F5">
        <w:rPr>
          <w:rFonts w:eastAsia="Malgun Gothic"/>
          <w:b/>
          <w:bCs/>
        </w:rPr>
        <w:t xml:space="preserve">VSAT UE served by </w:t>
      </w:r>
      <w:r>
        <w:rPr>
          <w:rFonts w:eastAsia="Malgun Gothic"/>
          <w:b/>
          <w:bCs/>
        </w:rPr>
        <w:t xml:space="preserve">a </w:t>
      </w:r>
      <w:r w:rsidRPr="008849F5">
        <w:rPr>
          <w:rFonts w:eastAsia="Malgun Gothic"/>
          <w:b/>
          <w:bCs/>
        </w:rPr>
        <w:t xml:space="preserve">linearly polarized </w:t>
      </w:r>
      <w:r>
        <w:rPr>
          <w:rFonts w:eastAsia="Malgun Gothic"/>
          <w:b/>
          <w:bCs/>
        </w:rPr>
        <w:t xml:space="preserve">satellite access node </w:t>
      </w:r>
      <w:r w:rsidRPr="008849F5">
        <w:rPr>
          <w:rFonts w:eastAsia="Malgun Gothic"/>
          <w:b/>
          <w:bCs/>
        </w:rPr>
        <w:t>will need to distinguish between two orthogonal linear polarizations for both downlink reception and uplink transmission</w:t>
      </w:r>
      <w:r>
        <w:rPr>
          <w:rFonts w:eastAsia="Malgun Gothic"/>
          <w:b/>
          <w:bCs/>
        </w:rPr>
        <w:t>,</w:t>
      </w:r>
      <w:r w:rsidRPr="008849F5">
        <w:rPr>
          <w:rFonts w:eastAsia="Malgun Gothic"/>
          <w:b/>
          <w:bCs/>
        </w:rPr>
        <w:t xml:space="preserve"> independently</w:t>
      </w:r>
      <w:r>
        <w:rPr>
          <w:rFonts w:eastAsia="Malgun Gothic"/>
          <w:b/>
          <w:bCs/>
        </w:rPr>
        <w:t>.</w:t>
      </w:r>
    </w:p>
    <w:p w14:paraId="257BA4FC" w14:textId="482E2C8D" w:rsidR="0041618B" w:rsidRPr="00520E88" w:rsidRDefault="0041618B" w:rsidP="0041618B">
      <w:pPr>
        <w:spacing w:before="120" w:after="120"/>
        <w:ind w:left="1418" w:hanging="1418"/>
        <w:jc w:val="both"/>
        <w:rPr>
          <w:rFonts w:eastAsia="Malgun Gothic"/>
          <w:b/>
          <w:bCs/>
        </w:rPr>
      </w:pPr>
      <w:r w:rsidRPr="00520E88">
        <w:rPr>
          <w:rFonts w:eastAsia="Malgun Gothic" w:hint="eastAsia"/>
          <w:b/>
          <w:bCs/>
        </w:rPr>
        <w:t xml:space="preserve">Observation </w:t>
      </w:r>
      <w:r>
        <w:rPr>
          <w:rFonts w:eastAsia="Malgun Gothic"/>
          <w:b/>
          <w:bCs/>
        </w:rPr>
        <w:t>3</w:t>
      </w:r>
      <w:r w:rsidRPr="00520E88">
        <w:rPr>
          <w:rFonts w:eastAsia="Malgun Gothic"/>
          <w:b/>
          <w:bCs/>
        </w:rPr>
        <w:t>:</w:t>
      </w:r>
      <w:r w:rsidRPr="00520E88">
        <w:rPr>
          <w:rFonts w:eastAsia="Malgun Gothic"/>
          <w:b/>
          <w:bCs/>
        </w:rPr>
        <w:tab/>
      </w:r>
      <w:r>
        <w:rPr>
          <w:rFonts w:eastAsia="Malgun Gothic"/>
          <w:b/>
          <w:bCs/>
        </w:rPr>
        <w:t>The introduction of new NR NTN operating bands - such as the Ku band in Rel-19 - is unlocking the support by 3GPP of new scenarios</w:t>
      </w:r>
      <w:r w:rsidRPr="009A0179">
        <w:t xml:space="preserve"> </w:t>
      </w:r>
      <w:r w:rsidRPr="009A0179">
        <w:rPr>
          <w:b/>
          <w:bCs/>
        </w:rPr>
        <w:t>requir</w:t>
      </w:r>
      <w:r>
        <w:rPr>
          <w:b/>
          <w:bCs/>
        </w:rPr>
        <w:t>ing</w:t>
      </w:r>
      <w:r w:rsidRPr="009A0179">
        <w:rPr>
          <w:b/>
          <w:bCs/>
        </w:rPr>
        <w:t xml:space="preserve"> the signalling of additional information</w:t>
      </w:r>
      <w:r>
        <w:rPr>
          <w:b/>
          <w:bCs/>
        </w:rPr>
        <w:t xml:space="preserve"> </w:t>
      </w:r>
      <w:r w:rsidRPr="009A0179">
        <w:rPr>
          <w:b/>
          <w:bCs/>
        </w:rPr>
        <w:t xml:space="preserve">for linear polarization, more specifically whether the polarization </w:t>
      </w:r>
      <w:r>
        <w:rPr>
          <w:b/>
          <w:bCs/>
        </w:rPr>
        <w:t xml:space="preserve">used at </w:t>
      </w:r>
      <w:r w:rsidRPr="009A0179">
        <w:rPr>
          <w:b/>
          <w:bCs/>
        </w:rPr>
        <w:t xml:space="preserve">the satellite or </w:t>
      </w:r>
      <w:r>
        <w:rPr>
          <w:b/>
          <w:bCs/>
        </w:rPr>
        <w:t xml:space="preserve">at the </w:t>
      </w:r>
      <w:r w:rsidRPr="009A0179">
        <w:rPr>
          <w:b/>
          <w:bCs/>
        </w:rPr>
        <w:t xml:space="preserve">UE is either </w:t>
      </w:r>
      <w:r w:rsidR="002A0797">
        <w:rPr>
          <w:b/>
          <w:bCs/>
        </w:rPr>
        <w:t>h</w:t>
      </w:r>
      <w:r w:rsidRPr="009A0179">
        <w:rPr>
          <w:b/>
          <w:bCs/>
        </w:rPr>
        <w:t xml:space="preserve">orizontal or </w:t>
      </w:r>
      <w:r w:rsidR="002A0797">
        <w:rPr>
          <w:b/>
          <w:bCs/>
        </w:rPr>
        <w:t>v</w:t>
      </w:r>
      <w:r w:rsidRPr="009A0179">
        <w:rPr>
          <w:b/>
          <w:bCs/>
        </w:rPr>
        <w:t>ertical</w:t>
      </w:r>
      <w:r w:rsidRPr="00890FEF">
        <w:rPr>
          <w:b/>
          <w:bCs/>
        </w:rPr>
        <w:t>.</w:t>
      </w:r>
    </w:p>
    <w:p w14:paraId="130EB1B2" w14:textId="794F6CF1" w:rsidR="00E83565" w:rsidRDefault="00E83565" w:rsidP="00E83565">
      <w:pPr>
        <w:spacing w:before="120" w:after="120"/>
        <w:ind w:left="1418" w:hanging="1418"/>
        <w:jc w:val="both"/>
        <w:rPr>
          <w:rFonts w:eastAsia="Malgun Gothic"/>
          <w:b/>
          <w:bCs/>
        </w:rPr>
      </w:pPr>
      <w:r>
        <w:rPr>
          <w:rFonts w:eastAsia="Malgun Gothic"/>
          <w:b/>
          <w:bCs/>
        </w:rPr>
        <w:t>Proposal</w:t>
      </w:r>
      <w:r w:rsidRPr="00520E88">
        <w:rPr>
          <w:rFonts w:eastAsia="Malgun Gothic" w:hint="eastAsia"/>
          <w:b/>
          <w:bCs/>
        </w:rPr>
        <w:t xml:space="preserve"> </w:t>
      </w:r>
      <w:r>
        <w:rPr>
          <w:rFonts w:eastAsia="Malgun Gothic"/>
          <w:b/>
          <w:bCs/>
        </w:rPr>
        <w:t>1</w:t>
      </w:r>
      <w:r w:rsidRPr="00520E88">
        <w:rPr>
          <w:rFonts w:eastAsia="Malgun Gothic"/>
          <w:b/>
          <w:bCs/>
        </w:rPr>
        <w:t>:</w:t>
      </w:r>
      <w:r w:rsidRPr="00520E88">
        <w:rPr>
          <w:rFonts w:eastAsia="Malgun Gothic"/>
          <w:b/>
          <w:bCs/>
        </w:rPr>
        <w:tab/>
      </w:r>
      <w:r>
        <w:rPr>
          <w:rFonts w:eastAsia="Malgun Gothic"/>
          <w:b/>
          <w:bCs/>
        </w:rPr>
        <w:t xml:space="preserve">It is proposed to introduce Rel-19 optional extensions to signal, in the relevant IEs, one of </w:t>
      </w:r>
      <w:r w:rsidR="00157E1A">
        <w:rPr>
          <w:rFonts w:eastAsia="Malgun Gothic"/>
          <w:b/>
          <w:bCs/>
        </w:rPr>
        <w:t xml:space="preserve">the </w:t>
      </w:r>
      <w:r>
        <w:rPr>
          <w:rFonts w:eastAsia="Malgun Gothic"/>
          <w:b/>
          <w:bCs/>
        </w:rPr>
        <w:t xml:space="preserve">two </w:t>
      </w:r>
      <w:r w:rsidR="00157E1A">
        <w:rPr>
          <w:rFonts w:eastAsia="Malgun Gothic"/>
          <w:b/>
          <w:bCs/>
        </w:rPr>
        <w:t xml:space="preserve">horizontal / vertical </w:t>
      </w:r>
      <w:r>
        <w:rPr>
          <w:rFonts w:eastAsia="Malgun Gothic"/>
          <w:b/>
          <w:bCs/>
        </w:rPr>
        <w:t>polarization orientations when "</w:t>
      </w:r>
      <w:r w:rsidRPr="00BE08A5">
        <w:rPr>
          <w:rFonts w:eastAsia="Malgun Gothic"/>
          <w:b/>
          <w:bCs/>
          <w:i/>
          <w:iCs/>
        </w:rPr>
        <w:t>linear</w:t>
      </w:r>
      <w:r>
        <w:rPr>
          <w:rFonts w:eastAsia="Malgun Gothic"/>
          <w:b/>
          <w:bCs/>
        </w:rPr>
        <w:t>" polarization is signalled as part of the Rel-17 signalling. The considered IEs are:</w:t>
      </w:r>
    </w:p>
    <w:p w14:paraId="35C3B861" w14:textId="64470FCF" w:rsidR="00E83565" w:rsidRPr="00520E88" w:rsidRDefault="00E83565" w:rsidP="00E83565">
      <w:pPr>
        <w:spacing w:before="120" w:after="120"/>
        <w:ind w:left="1418"/>
        <w:jc w:val="both"/>
        <w:rPr>
          <w:rFonts w:eastAsia="Malgun Gothic"/>
          <w:b/>
          <w:bCs/>
        </w:rPr>
      </w:pPr>
      <w:r>
        <w:rPr>
          <w:b/>
          <w:bCs/>
          <w:i/>
          <w:iCs/>
        </w:rPr>
        <w:t xml:space="preserve">- </w:t>
      </w:r>
      <w:r w:rsidR="00925B2D" w:rsidRPr="00E531BF">
        <w:rPr>
          <w:b/>
          <w:bCs/>
          <w:i/>
          <w:iCs/>
        </w:rPr>
        <w:t>NTN</w:t>
      </w:r>
      <w:r w:rsidR="00925B2D">
        <w:rPr>
          <w:b/>
          <w:bCs/>
          <w:i/>
          <w:iCs/>
        </w:rPr>
        <w:t>-</w:t>
      </w:r>
      <w:r w:rsidR="00925B2D" w:rsidRPr="00E531BF">
        <w:rPr>
          <w:b/>
          <w:bCs/>
          <w:i/>
          <w:iCs/>
        </w:rPr>
        <w:t>Config</w:t>
      </w:r>
      <w:r w:rsidR="00925B2D">
        <w:rPr>
          <w:i/>
          <w:iCs/>
        </w:rPr>
        <w:t xml:space="preserve"> </w:t>
      </w:r>
      <w:r w:rsidRPr="00594F6C">
        <w:rPr>
          <w:b/>
          <w:bCs/>
        </w:rPr>
        <w:t>IE</w:t>
      </w:r>
      <w:r w:rsidRPr="00594F6C">
        <w:rPr>
          <w:rFonts w:eastAsia="Malgun Gothic"/>
          <w:b/>
          <w:bCs/>
          <w:i/>
          <w:iCs/>
        </w:rPr>
        <w:t xml:space="preserve"> </w:t>
      </w:r>
      <w:r w:rsidRPr="00594F6C">
        <w:rPr>
          <w:rFonts w:eastAsia="Malgun Gothic"/>
          <w:b/>
          <w:bCs/>
        </w:rPr>
        <w:t>(</w:t>
      </w:r>
      <w:r>
        <w:rPr>
          <w:rFonts w:eastAsia="Malgun Gothic"/>
          <w:b/>
          <w:bCs/>
        </w:rPr>
        <w:t>it shall be possible to signal DL and UL polarizations independently),</w:t>
      </w:r>
    </w:p>
    <w:p w14:paraId="30853C5A" w14:textId="77777777" w:rsidR="00E83565" w:rsidRPr="00520E88" w:rsidRDefault="00E83565" w:rsidP="00E83565">
      <w:pPr>
        <w:spacing w:before="120" w:after="120"/>
        <w:ind w:left="1418"/>
        <w:jc w:val="both"/>
        <w:rPr>
          <w:rFonts w:eastAsia="Malgun Gothic"/>
          <w:b/>
          <w:bCs/>
        </w:rPr>
      </w:pPr>
      <w:r>
        <w:rPr>
          <w:b/>
          <w:bCs/>
          <w:i/>
          <w:iCs/>
        </w:rPr>
        <w:t xml:space="preserve">- </w:t>
      </w:r>
      <w:proofErr w:type="spellStart"/>
      <w:r w:rsidRPr="00477B7B">
        <w:rPr>
          <w:b/>
          <w:bCs/>
          <w:i/>
          <w:iCs/>
        </w:rPr>
        <w:t>CellsToAddModExt</w:t>
      </w:r>
      <w:proofErr w:type="spellEnd"/>
      <w:r>
        <w:rPr>
          <w:rFonts w:eastAsia="Malgun Gothic"/>
          <w:b/>
          <w:bCs/>
        </w:rPr>
        <w:t xml:space="preserve"> </w:t>
      </w:r>
      <w:r w:rsidRPr="00594F6C">
        <w:rPr>
          <w:b/>
          <w:bCs/>
        </w:rPr>
        <w:t>IE</w:t>
      </w:r>
      <w:r w:rsidRPr="00594F6C">
        <w:rPr>
          <w:rFonts w:eastAsia="Malgun Gothic"/>
          <w:b/>
          <w:bCs/>
          <w:i/>
          <w:iCs/>
        </w:rPr>
        <w:t xml:space="preserve"> </w:t>
      </w:r>
      <w:r>
        <w:rPr>
          <w:rFonts w:eastAsia="Malgun Gothic"/>
          <w:b/>
          <w:bCs/>
        </w:rPr>
        <w:t>(only DL polarization orientation is required).</w:t>
      </w:r>
    </w:p>
    <w:p w14:paraId="2111D76E" w14:textId="77777777" w:rsidR="00E83565" w:rsidRDefault="00E83565" w:rsidP="00E83565">
      <w:pPr>
        <w:spacing w:before="120" w:after="120"/>
        <w:ind w:left="1418" w:hanging="1418"/>
        <w:jc w:val="both"/>
        <w:rPr>
          <w:rFonts w:eastAsia="Malgun Gothic"/>
          <w:b/>
          <w:bCs/>
        </w:rPr>
      </w:pPr>
      <w:r>
        <w:rPr>
          <w:rFonts w:eastAsia="Malgun Gothic"/>
          <w:b/>
          <w:bCs/>
        </w:rPr>
        <w:t>Proposal</w:t>
      </w:r>
      <w:r w:rsidRPr="00520E88">
        <w:rPr>
          <w:rFonts w:eastAsia="Malgun Gothic" w:hint="eastAsia"/>
          <w:b/>
          <w:bCs/>
        </w:rPr>
        <w:t xml:space="preserve"> </w:t>
      </w:r>
      <w:r>
        <w:rPr>
          <w:rFonts w:eastAsia="Malgun Gothic"/>
          <w:b/>
          <w:bCs/>
        </w:rPr>
        <w:t>2</w:t>
      </w:r>
      <w:r w:rsidRPr="00520E88">
        <w:rPr>
          <w:rFonts w:eastAsia="Malgun Gothic"/>
          <w:b/>
          <w:bCs/>
        </w:rPr>
        <w:t>:</w:t>
      </w:r>
      <w:r w:rsidRPr="00520E88">
        <w:rPr>
          <w:rFonts w:eastAsia="Malgun Gothic"/>
          <w:b/>
          <w:bCs/>
        </w:rPr>
        <w:tab/>
      </w:r>
      <w:r>
        <w:rPr>
          <w:rFonts w:eastAsia="Malgun Gothic"/>
          <w:b/>
          <w:bCs/>
        </w:rPr>
        <w:t xml:space="preserve">It is proposed that the support by the UE of the Rel-19 optional signalling extensions to provide the linear polarization orientation to the UE, as defined by Proposal 1, is </w:t>
      </w:r>
      <w:r w:rsidRPr="00706A93">
        <w:rPr>
          <w:b/>
          <w:bCs/>
        </w:rPr>
        <w:t>an optional feature without UE radio access capability parameters</w:t>
      </w:r>
      <w:r>
        <w:rPr>
          <w:b/>
          <w:bCs/>
        </w:rPr>
        <w:t>.</w:t>
      </w:r>
    </w:p>
    <w:p w14:paraId="40EB8259" w14:textId="243063A0" w:rsidR="00394727" w:rsidRPr="00394727" w:rsidRDefault="00394727" w:rsidP="00394727">
      <w:pPr>
        <w:pStyle w:val="Heading1"/>
      </w:pPr>
      <w:r>
        <w:t>4</w:t>
      </w:r>
      <w:r>
        <w:tab/>
      </w:r>
      <w:r w:rsidRPr="00394727">
        <w:t>References</w:t>
      </w:r>
    </w:p>
    <w:p w14:paraId="327B41DA" w14:textId="5D7F9BA3" w:rsidR="00196F9F" w:rsidRDefault="00196F9F" w:rsidP="00D95E55">
      <w:pPr>
        <w:ind w:left="397" w:hanging="397"/>
        <w:rPr>
          <w:rFonts w:cstheme="minorHAnsi"/>
        </w:rPr>
      </w:pPr>
      <w:r w:rsidRPr="00196F9F">
        <w:rPr>
          <w:rFonts w:cstheme="minorHAnsi"/>
        </w:rPr>
        <w:t>[</w:t>
      </w:r>
      <w:r w:rsidR="00D95E55">
        <w:rPr>
          <w:rFonts w:cstheme="minorHAnsi"/>
        </w:rPr>
        <w:t>1</w:t>
      </w:r>
      <w:r w:rsidRPr="00196F9F">
        <w:rPr>
          <w:rFonts w:cstheme="minorHAnsi"/>
        </w:rPr>
        <w:t>]</w:t>
      </w:r>
      <w:r>
        <w:rPr>
          <w:rFonts w:cstheme="minorHAnsi"/>
        </w:rPr>
        <w:tab/>
      </w:r>
      <w:r w:rsidRPr="00196F9F">
        <w:rPr>
          <w:rFonts w:cstheme="minorHAnsi"/>
        </w:rPr>
        <w:t>TS 38.3</w:t>
      </w:r>
      <w:r>
        <w:rPr>
          <w:rFonts w:cstheme="minorHAnsi"/>
        </w:rPr>
        <w:t>31</w:t>
      </w:r>
      <w:r w:rsidR="00D95E55">
        <w:rPr>
          <w:rFonts w:cstheme="minorHAnsi"/>
        </w:rPr>
        <w:t>:</w:t>
      </w:r>
      <w:r w:rsidRPr="00196F9F">
        <w:rPr>
          <w:rFonts w:cstheme="minorHAnsi"/>
        </w:rPr>
        <w:t xml:space="preserve"> "</w:t>
      </w:r>
      <w:r w:rsidR="00D95E55" w:rsidRPr="00D95E55">
        <w:rPr>
          <w:rFonts w:cstheme="minorHAnsi"/>
        </w:rPr>
        <w:t>NR; Radio Resource Control (RRC) protocol specification"</w:t>
      </w:r>
    </w:p>
    <w:p w14:paraId="3E56012B" w14:textId="70D9CE7F" w:rsidR="00D95E55" w:rsidRDefault="00D95E55" w:rsidP="00D95E55">
      <w:pPr>
        <w:ind w:left="397" w:hanging="397"/>
        <w:rPr>
          <w:rFonts w:cstheme="minorHAnsi"/>
        </w:rPr>
      </w:pPr>
      <w:r w:rsidRPr="00196F9F">
        <w:rPr>
          <w:rFonts w:cstheme="minorHAnsi"/>
        </w:rPr>
        <w:t>[</w:t>
      </w:r>
      <w:r>
        <w:rPr>
          <w:rFonts w:cstheme="minorHAnsi"/>
        </w:rPr>
        <w:t>2</w:t>
      </w:r>
      <w:r w:rsidRPr="00196F9F">
        <w:rPr>
          <w:rFonts w:cstheme="minorHAnsi"/>
        </w:rPr>
        <w:t>]</w:t>
      </w:r>
      <w:r>
        <w:rPr>
          <w:rFonts w:cstheme="minorHAnsi"/>
        </w:rPr>
        <w:tab/>
      </w:r>
      <w:r w:rsidRPr="00882B32">
        <w:rPr>
          <w:rFonts w:cstheme="minorHAnsi"/>
        </w:rPr>
        <w:t>RP-250799</w:t>
      </w:r>
      <w:r>
        <w:rPr>
          <w:rFonts w:cstheme="minorHAnsi"/>
        </w:rPr>
        <w:t>:</w:t>
      </w:r>
      <w:r w:rsidRPr="00882B32">
        <w:rPr>
          <w:rFonts w:cstheme="minorHAnsi"/>
        </w:rPr>
        <w:t xml:space="preserve"> </w:t>
      </w:r>
      <w:r>
        <w:rPr>
          <w:rFonts w:cstheme="minorHAnsi"/>
        </w:rPr>
        <w:t>"</w:t>
      </w:r>
      <w:r w:rsidRPr="00882B32">
        <w:rPr>
          <w:rFonts w:cstheme="minorHAnsi"/>
        </w:rPr>
        <w:t>Revised WID: Introduction of Ku Bands for NR NTN</w:t>
      </w:r>
      <w:r>
        <w:rPr>
          <w:rFonts w:cstheme="minorHAnsi"/>
        </w:rPr>
        <w:t>"</w:t>
      </w:r>
      <w:r w:rsidRPr="00882B32">
        <w:rPr>
          <w:rFonts w:cstheme="minorHAnsi"/>
        </w:rPr>
        <w:t>, RAN#10</w:t>
      </w:r>
      <w:r>
        <w:rPr>
          <w:rFonts w:cstheme="minorHAnsi"/>
        </w:rPr>
        <w:t>9</w:t>
      </w:r>
      <w:r w:rsidRPr="00882B32">
        <w:rPr>
          <w:rFonts w:cstheme="minorHAnsi"/>
        </w:rPr>
        <w:t xml:space="preserve">, </w:t>
      </w:r>
      <w:r>
        <w:rPr>
          <w:rFonts w:cstheme="minorHAnsi"/>
        </w:rPr>
        <w:t xml:space="preserve">Beijing </w:t>
      </w:r>
      <w:r w:rsidRPr="00882B32">
        <w:rPr>
          <w:rFonts w:cstheme="minorHAnsi"/>
        </w:rPr>
        <w:t>(</w:t>
      </w:r>
      <w:r>
        <w:rPr>
          <w:rFonts w:cstheme="minorHAnsi"/>
        </w:rPr>
        <w:t xml:space="preserve">September </w:t>
      </w:r>
      <w:r w:rsidRPr="00882B32">
        <w:rPr>
          <w:rFonts w:cstheme="minorHAnsi"/>
        </w:rPr>
        <w:t>2025)</w:t>
      </w:r>
    </w:p>
    <w:p w14:paraId="2D2F4E01" w14:textId="30382822" w:rsidR="002C7F08" w:rsidRDefault="002C7F08" w:rsidP="00D76CF2">
      <w:pPr>
        <w:ind w:left="397" w:hanging="397"/>
        <w:rPr>
          <w:rFonts w:cstheme="minorHAnsi"/>
        </w:rPr>
      </w:pPr>
      <w:r>
        <w:rPr>
          <w:rFonts w:cstheme="minorHAnsi"/>
        </w:rPr>
        <w:t>[3]</w:t>
      </w:r>
      <w:r>
        <w:rPr>
          <w:rFonts w:cstheme="minorHAnsi"/>
        </w:rPr>
        <w:tab/>
      </w:r>
      <w:r w:rsidR="00B27726" w:rsidRPr="00552463">
        <w:rPr>
          <w:rFonts w:cstheme="minorHAnsi"/>
        </w:rPr>
        <w:t>ESOG 120 Issue 8</w:t>
      </w:r>
      <w:r w:rsidR="00B27726" w:rsidRPr="00B27726">
        <w:rPr>
          <w:rFonts w:cstheme="minorHAnsi"/>
        </w:rPr>
        <w:t xml:space="preserve"> </w:t>
      </w:r>
      <w:r w:rsidR="00B27726" w:rsidRPr="00552463">
        <w:rPr>
          <w:rFonts w:cstheme="minorHAnsi"/>
        </w:rPr>
        <w:t>Rev. 2</w:t>
      </w:r>
      <w:r w:rsidR="00B27726" w:rsidRPr="00B27726">
        <w:rPr>
          <w:rFonts w:cstheme="minorHAnsi"/>
        </w:rPr>
        <w:t>:</w:t>
      </w:r>
      <w:r w:rsidR="00B27726">
        <w:rPr>
          <w:rFonts w:cstheme="minorHAnsi"/>
        </w:rPr>
        <w:t xml:space="preserve"> "</w:t>
      </w:r>
      <w:bookmarkStart w:id="4" w:name="_Hlk213181974"/>
      <w:r w:rsidR="00B27726" w:rsidRPr="00B27726">
        <w:rPr>
          <w:rFonts w:cstheme="minorHAnsi"/>
        </w:rPr>
        <w:t xml:space="preserve">Type Approval </w:t>
      </w:r>
      <w:r w:rsidR="00B27726">
        <w:rPr>
          <w:rFonts w:cstheme="minorHAnsi"/>
        </w:rPr>
        <w:t>a</w:t>
      </w:r>
      <w:r w:rsidR="00B27726" w:rsidRPr="00B27726">
        <w:rPr>
          <w:rFonts w:cstheme="minorHAnsi"/>
        </w:rPr>
        <w:t xml:space="preserve">nd </w:t>
      </w:r>
      <w:r w:rsidR="00B27726">
        <w:rPr>
          <w:rFonts w:cstheme="minorHAnsi"/>
        </w:rPr>
        <w:t>c</w:t>
      </w:r>
      <w:r w:rsidR="00B27726" w:rsidRPr="00B27726">
        <w:rPr>
          <w:rFonts w:cstheme="minorHAnsi"/>
        </w:rPr>
        <w:t xml:space="preserve">haracterization </w:t>
      </w:r>
      <w:r w:rsidR="00B27726">
        <w:rPr>
          <w:rFonts w:cstheme="minorHAnsi"/>
        </w:rPr>
        <w:t>p</w:t>
      </w:r>
      <w:r w:rsidR="00B27726" w:rsidRPr="00B27726">
        <w:rPr>
          <w:rFonts w:cstheme="minorHAnsi"/>
        </w:rPr>
        <w:t>rocedures</w:t>
      </w:r>
      <w:bookmarkEnd w:id="4"/>
      <w:r w:rsidR="00B27726" w:rsidRPr="00552463">
        <w:rPr>
          <w:rFonts w:cstheme="minorHAnsi"/>
        </w:rPr>
        <w:t xml:space="preserve">" </w:t>
      </w:r>
      <w:r w:rsidR="00967DCC">
        <w:rPr>
          <w:rFonts w:cstheme="minorHAnsi"/>
        </w:rPr>
        <w:t>at</w:t>
      </w:r>
      <w:r w:rsidR="00E022D9">
        <w:rPr>
          <w:rFonts w:cstheme="minorHAnsi"/>
        </w:rPr>
        <w:t xml:space="preserve"> </w:t>
      </w:r>
      <w:hyperlink r:id="rId7" w:history="1">
        <w:r w:rsidR="00D76CF2" w:rsidRPr="00D76CF2">
          <w:rPr>
            <w:rStyle w:val="Hyperlink"/>
            <w:rFonts w:cstheme="minorHAnsi"/>
            <w:i/>
            <w:iCs/>
          </w:rPr>
          <w:t>https://www.eutelsat.com/sites/default/files/2025-08/DOC_Access-Space-Sgmnt_ESOG120_8_rev2_20240627.pdf</w:t>
        </w:r>
      </w:hyperlink>
      <w:r w:rsidR="00D76CF2">
        <w:rPr>
          <w:rFonts w:cstheme="minorHAnsi"/>
          <w:i/>
          <w:iCs/>
        </w:rPr>
        <w:t xml:space="preserve"> </w:t>
      </w:r>
      <w:r w:rsidR="00E022D9">
        <w:rPr>
          <w:rFonts w:cstheme="minorHAnsi"/>
        </w:rPr>
        <w:t xml:space="preserve">- </w:t>
      </w:r>
      <w:r w:rsidR="00B27726" w:rsidRPr="00552463">
        <w:rPr>
          <w:rFonts w:cstheme="minorHAnsi"/>
        </w:rPr>
        <w:t xml:space="preserve">Eutelsat </w:t>
      </w:r>
      <w:r w:rsidR="00B27726">
        <w:rPr>
          <w:rFonts w:cstheme="minorHAnsi"/>
        </w:rPr>
        <w:t>(</w:t>
      </w:r>
      <w:r w:rsidR="00B27726" w:rsidRPr="00552463">
        <w:rPr>
          <w:rFonts w:cstheme="minorHAnsi"/>
        </w:rPr>
        <w:t>June 2024</w:t>
      </w:r>
      <w:r w:rsidR="00B27726">
        <w:rPr>
          <w:rFonts w:cstheme="minorHAnsi"/>
        </w:rPr>
        <w:t>)</w:t>
      </w:r>
    </w:p>
    <w:p w14:paraId="6F13C731" w14:textId="1944D895" w:rsidR="00746AD3" w:rsidRDefault="00746AD3" w:rsidP="00746AD3">
      <w:pPr>
        <w:ind w:left="397" w:hanging="397"/>
        <w:rPr>
          <w:rFonts w:cstheme="minorHAnsi"/>
        </w:rPr>
      </w:pPr>
      <w:r w:rsidRPr="00196F9F">
        <w:rPr>
          <w:rFonts w:cstheme="minorHAnsi"/>
        </w:rPr>
        <w:t>[</w:t>
      </w:r>
      <w:r w:rsidR="002C7F08">
        <w:rPr>
          <w:rFonts w:cstheme="minorHAnsi"/>
        </w:rPr>
        <w:t>4</w:t>
      </w:r>
      <w:r w:rsidRPr="00196F9F">
        <w:rPr>
          <w:rFonts w:cstheme="minorHAnsi"/>
        </w:rPr>
        <w:t>]</w:t>
      </w:r>
      <w:r>
        <w:rPr>
          <w:rFonts w:cstheme="minorHAnsi"/>
        </w:rPr>
        <w:tab/>
      </w:r>
      <w:r w:rsidRPr="00196F9F">
        <w:rPr>
          <w:rFonts w:cstheme="minorHAnsi"/>
        </w:rPr>
        <w:t>TS 38.3</w:t>
      </w:r>
      <w:r>
        <w:rPr>
          <w:rFonts w:cstheme="minorHAnsi"/>
        </w:rPr>
        <w:t>06:</w:t>
      </w:r>
      <w:r w:rsidRPr="00196F9F">
        <w:rPr>
          <w:rFonts w:cstheme="minorHAnsi"/>
        </w:rPr>
        <w:t xml:space="preserve"> "</w:t>
      </w:r>
      <w:r w:rsidRPr="00D95E55">
        <w:rPr>
          <w:rFonts w:cstheme="minorHAnsi"/>
        </w:rPr>
        <w:t xml:space="preserve">NR; </w:t>
      </w:r>
      <w:r w:rsidRPr="00746AD3">
        <w:rPr>
          <w:rFonts w:cstheme="minorHAnsi"/>
        </w:rPr>
        <w:t>User Equipment (UE) radio access capabilities</w:t>
      </w:r>
      <w:r w:rsidRPr="00D95E55">
        <w:rPr>
          <w:rFonts w:cstheme="minorHAnsi"/>
        </w:rPr>
        <w:t>"</w:t>
      </w:r>
    </w:p>
    <w:p w14:paraId="12958D16" w14:textId="677293CB" w:rsidR="001F513F" w:rsidRDefault="001F513F" w:rsidP="000C1C07">
      <w:pPr>
        <w:ind w:left="397" w:hanging="397"/>
        <w:rPr>
          <w:rFonts w:cstheme="minorHAnsi"/>
        </w:rPr>
      </w:pPr>
      <w:r w:rsidRPr="00196F9F">
        <w:rPr>
          <w:rFonts w:cstheme="minorHAnsi"/>
        </w:rPr>
        <w:t>[</w:t>
      </w:r>
      <w:r w:rsidR="002C7F08">
        <w:rPr>
          <w:rFonts w:cstheme="minorHAnsi"/>
        </w:rPr>
        <w:t>5</w:t>
      </w:r>
      <w:r w:rsidRPr="00196F9F">
        <w:rPr>
          <w:rFonts w:cstheme="minorHAnsi"/>
        </w:rPr>
        <w:t>]</w:t>
      </w:r>
      <w:r>
        <w:rPr>
          <w:rFonts w:cstheme="minorHAnsi"/>
        </w:rPr>
        <w:tab/>
      </w:r>
      <w:r w:rsidR="000C1C07" w:rsidRPr="000C1C07">
        <w:rPr>
          <w:rFonts w:cstheme="minorHAnsi"/>
        </w:rPr>
        <w:t>R2-2508788</w:t>
      </w:r>
      <w:r w:rsidR="000C1C07">
        <w:rPr>
          <w:rFonts w:cstheme="minorHAnsi"/>
        </w:rPr>
        <w:t>:</w:t>
      </w:r>
      <w:r w:rsidR="000C1C07" w:rsidRPr="00882B32">
        <w:rPr>
          <w:rFonts w:cstheme="minorHAnsi"/>
        </w:rPr>
        <w:t xml:space="preserve"> </w:t>
      </w:r>
      <w:r>
        <w:rPr>
          <w:rFonts w:cstheme="minorHAnsi"/>
        </w:rPr>
        <w:t xml:space="preserve">Rel-19 CR to </w:t>
      </w:r>
      <w:r w:rsidRPr="00196F9F">
        <w:rPr>
          <w:rFonts w:cstheme="minorHAnsi"/>
        </w:rPr>
        <w:t>TS 38.3</w:t>
      </w:r>
      <w:r>
        <w:rPr>
          <w:rFonts w:cstheme="minorHAnsi"/>
        </w:rPr>
        <w:t>31</w:t>
      </w:r>
      <w:r w:rsidR="000C1C07">
        <w:rPr>
          <w:rFonts w:cstheme="minorHAnsi"/>
        </w:rPr>
        <w:t xml:space="preserve"> </w:t>
      </w:r>
      <w:r w:rsidR="000C1C07" w:rsidRPr="000C1C07">
        <w:rPr>
          <w:rFonts w:cstheme="minorHAnsi"/>
        </w:rPr>
        <w:t>Linear polarization orientation RRC signalling for NR NTN</w:t>
      </w:r>
    </w:p>
    <w:p w14:paraId="07B9A92E" w14:textId="725F36B2" w:rsidR="001F513F" w:rsidRDefault="001F513F" w:rsidP="000C1C07">
      <w:pPr>
        <w:ind w:left="397" w:hanging="397"/>
        <w:rPr>
          <w:rFonts w:cstheme="minorHAnsi"/>
        </w:rPr>
      </w:pPr>
      <w:r w:rsidRPr="00196F9F">
        <w:rPr>
          <w:rFonts w:cstheme="minorHAnsi"/>
        </w:rPr>
        <w:t>[</w:t>
      </w:r>
      <w:r w:rsidR="002C7F08">
        <w:rPr>
          <w:rFonts w:cstheme="minorHAnsi"/>
        </w:rPr>
        <w:t>6</w:t>
      </w:r>
      <w:r w:rsidRPr="00196F9F">
        <w:rPr>
          <w:rFonts w:cstheme="minorHAnsi"/>
        </w:rPr>
        <w:t>]</w:t>
      </w:r>
      <w:r>
        <w:rPr>
          <w:rFonts w:cstheme="minorHAnsi"/>
        </w:rPr>
        <w:tab/>
      </w:r>
      <w:r w:rsidR="000C1C07" w:rsidRPr="000C1C07">
        <w:rPr>
          <w:rFonts w:cstheme="minorHAnsi"/>
        </w:rPr>
        <w:t>R2-</w:t>
      </w:r>
      <w:r w:rsidR="000C1C07" w:rsidRPr="000D0AD6">
        <w:rPr>
          <w:rFonts w:cstheme="minorHAnsi"/>
        </w:rPr>
        <w:t>2508789:</w:t>
      </w:r>
      <w:r w:rsidR="000C1C07" w:rsidRPr="000D0AD6" w:rsidDel="000C1C07">
        <w:rPr>
          <w:rFonts w:cstheme="minorHAnsi"/>
        </w:rPr>
        <w:t xml:space="preserve"> </w:t>
      </w:r>
      <w:r w:rsidRPr="000D0AD6">
        <w:rPr>
          <w:rFonts w:cstheme="minorHAnsi"/>
        </w:rPr>
        <w:t>Rel-19</w:t>
      </w:r>
      <w:r>
        <w:rPr>
          <w:rFonts w:cstheme="minorHAnsi"/>
        </w:rPr>
        <w:t xml:space="preserve"> CR to </w:t>
      </w:r>
      <w:r w:rsidRPr="00196F9F">
        <w:rPr>
          <w:rFonts w:cstheme="minorHAnsi"/>
        </w:rPr>
        <w:t>TS 38.3</w:t>
      </w:r>
      <w:r>
        <w:rPr>
          <w:rFonts w:cstheme="minorHAnsi"/>
        </w:rPr>
        <w:t>06</w:t>
      </w:r>
      <w:r w:rsidR="000C1C07">
        <w:rPr>
          <w:rFonts w:cstheme="minorHAnsi"/>
        </w:rPr>
        <w:t xml:space="preserve"> </w:t>
      </w:r>
      <w:r w:rsidR="000C1C07" w:rsidRPr="000C1C07">
        <w:rPr>
          <w:rFonts w:cstheme="minorHAnsi"/>
        </w:rPr>
        <w:t>Linear polarization orientation RRC signalling for NR NTN</w:t>
      </w:r>
    </w:p>
    <w:sectPr w:rsidR="001F513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54F2E" w14:textId="77777777" w:rsidR="00C7469C" w:rsidRDefault="00C7469C">
      <w:r>
        <w:separator/>
      </w:r>
    </w:p>
  </w:endnote>
  <w:endnote w:type="continuationSeparator" w:id="0">
    <w:p w14:paraId="440EF87C" w14:textId="77777777" w:rsidR="00C7469C" w:rsidRDefault="00C7469C">
      <w:r>
        <w:continuationSeparator/>
      </w:r>
    </w:p>
  </w:endnote>
  <w:endnote w:type="continuationNotice" w:id="1">
    <w:p w14:paraId="22510076" w14:textId="77777777" w:rsidR="00C7469C" w:rsidRDefault="00C74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E7C32" w14:textId="77777777" w:rsidR="00C7469C" w:rsidRDefault="00C7469C">
      <w:r>
        <w:separator/>
      </w:r>
    </w:p>
  </w:footnote>
  <w:footnote w:type="continuationSeparator" w:id="0">
    <w:p w14:paraId="453BC541" w14:textId="77777777" w:rsidR="00C7469C" w:rsidRDefault="00C7469C">
      <w:r>
        <w:continuationSeparator/>
      </w:r>
    </w:p>
  </w:footnote>
  <w:footnote w:type="continuationNotice" w:id="1">
    <w:p w14:paraId="43BCE015" w14:textId="77777777" w:rsidR="00C7469C" w:rsidRDefault="00C746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DA1A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4"/>
  </w:num>
  <w:num w:numId="5" w16cid:durableId="630793192">
    <w:abstractNumId w:val="23"/>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4"/>
  </w:num>
  <w:num w:numId="19" w16cid:durableId="1037001701">
    <w:abstractNumId w:val="17"/>
  </w:num>
  <w:num w:numId="20" w16cid:durableId="381178554">
    <w:abstractNumId w:val="26"/>
  </w:num>
  <w:num w:numId="21" w16cid:durableId="2124416032">
    <w:abstractNumId w:val="39"/>
  </w:num>
  <w:num w:numId="22" w16cid:durableId="1835757643">
    <w:abstractNumId w:val="27"/>
  </w:num>
  <w:num w:numId="23" w16cid:durableId="1310280601">
    <w:abstractNumId w:val="25"/>
  </w:num>
  <w:num w:numId="24" w16cid:durableId="118233645">
    <w:abstractNumId w:val="36"/>
  </w:num>
  <w:num w:numId="25" w16cid:durableId="671296767">
    <w:abstractNumId w:val="32"/>
  </w:num>
  <w:num w:numId="26" w16cid:durableId="1174684462">
    <w:abstractNumId w:val="16"/>
  </w:num>
  <w:num w:numId="27" w16cid:durableId="1515420346">
    <w:abstractNumId w:val="11"/>
  </w:num>
  <w:num w:numId="28" w16cid:durableId="2087459430">
    <w:abstractNumId w:val="34"/>
  </w:num>
  <w:num w:numId="29" w16cid:durableId="1368143600">
    <w:abstractNumId w:val="13"/>
  </w:num>
  <w:num w:numId="30" w16cid:durableId="4943661">
    <w:abstractNumId w:val="15"/>
  </w:num>
  <w:num w:numId="31" w16cid:durableId="866529317">
    <w:abstractNumId w:val="20"/>
  </w:num>
  <w:num w:numId="32" w16cid:durableId="891575251">
    <w:abstractNumId w:val="30"/>
  </w:num>
  <w:num w:numId="33" w16cid:durableId="515120354">
    <w:abstractNumId w:val="38"/>
  </w:num>
  <w:num w:numId="34" w16cid:durableId="1669139976">
    <w:abstractNumId w:val="22"/>
  </w:num>
  <w:num w:numId="35" w16cid:durableId="393310983">
    <w:abstractNumId w:val="37"/>
  </w:num>
  <w:num w:numId="36" w16cid:durableId="753014143">
    <w:abstractNumId w:val="21"/>
  </w:num>
  <w:num w:numId="37" w16cid:durableId="1868786144">
    <w:abstractNumId w:val="35"/>
  </w:num>
  <w:num w:numId="38" w16cid:durableId="1424960015">
    <w:abstractNumId w:val="18"/>
  </w:num>
  <w:num w:numId="39" w16cid:durableId="1958757628">
    <w:abstractNumId w:val="33"/>
  </w:num>
  <w:num w:numId="40" w16cid:durableId="1068383677">
    <w:abstractNumId w:val="19"/>
  </w:num>
  <w:num w:numId="41" w16cid:durableId="113229197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50E4"/>
    <w:rsid w:val="000456D7"/>
    <w:rsid w:val="000465A7"/>
    <w:rsid w:val="0005286B"/>
    <w:rsid w:val="00054425"/>
    <w:rsid w:val="000577C7"/>
    <w:rsid w:val="00057ABE"/>
    <w:rsid w:val="00060C0E"/>
    <w:rsid w:val="00061553"/>
    <w:rsid w:val="000622D7"/>
    <w:rsid w:val="0006291A"/>
    <w:rsid w:val="00062A11"/>
    <w:rsid w:val="00062DE2"/>
    <w:rsid w:val="00065268"/>
    <w:rsid w:val="0007145B"/>
    <w:rsid w:val="00071601"/>
    <w:rsid w:val="000727F9"/>
    <w:rsid w:val="00073C9C"/>
    <w:rsid w:val="00076412"/>
    <w:rsid w:val="00076806"/>
    <w:rsid w:val="00077B66"/>
    <w:rsid w:val="00080512"/>
    <w:rsid w:val="0008201D"/>
    <w:rsid w:val="000844E2"/>
    <w:rsid w:val="00090468"/>
    <w:rsid w:val="000925B6"/>
    <w:rsid w:val="000929F6"/>
    <w:rsid w:val="00093FD8"/>
    <w:rsid w:val="00094568"/>
    <w:rsid w:val="00096B54"/>
    <w:rsid w:val="000A10D1"/>
    <w:rsid w:val="000A1C28"/>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5CBB"/>
    <w:rsid w:val="000F57B1"/>
    <w:rsid w:val="000F66BA"/>
    <w:rsid w:val="0010169B"/>
    <w:rsid w:val="0010268A"/>
    <w:rsid w:val="00103543"/>
    <w:rsid w:val="00107D8B"/>
    <w:rsid w:val="001103BD"/>
    <w:rsid w:val="0011046F"/>
    <w:rsid w:val="00111E05"/>
    <w:rsid w:val="00112F1A"/>
    <w:rsid w:val="0011427D"/>
    <w:rsid w:val="001221F3"/>
    <w:rsid w:val="00123B5C"/>
    <w:rsid w:val="00124C50"/>
    <w:rsid w:val="00124CDD"/>
    <w:rsid w:val="00124CF0"/>
    <w:rsid w:val="00125351"/>
    <w:rsid w:val="0012610D"/>
    <w:rsid w:val="001268B6"/>
    <w:rsid w:val="00127653"/>
    <w:rsid w:val="00137059"/>
    <w:rsid w:val="0013761D"/>
    <w:rsid w:val="0014296D"/>
    <w:rsid w:val="00145075"/>
    <w:rsid w:val="00147FED"/>
    <w:rsid w:val="00152FFB"/>
    <w:rsid w:val="00153259"/>
    <w:rsid w:val="00157E1A"/>
    <w:rsid w:val="001604BB"/>
    <w:rsid w:val="00162642"/>
    <w:rsid w:val="00162EFD"/>
    <w:rsid w:val="001635B1"/>
    <w:rsid w:val="00163A64"/>
    <w:rsid w:val="00164A9A"/>
    <w:rsid w:val="00166B87"/>
    <w:rsid w:val="00171AB2"/>
    <w:rsid w:val="001741A0"/>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66A"/>
    <w:rsid w:val="001B49C9"/>
    <w:rsid w:val="001C02E4"/>
    <w:rsid w:val="001C23F4"/>
    <w:rsid w:val="001C4F79"/>
    <w:rsid w:val="001C5C3F"/>
    <w:rsid w:val="001C5E39"/>
    <w:rsid w:val="001C69C8"/>
    <w:rsid w:val="001D083E"/>
    <w:rsid w:val="001D60CE"/>
    <w:rsid w:val="001E1044"/>
    <w:rsid w:val="001E1B14"/>
    <w:rsid w:val="001E6BDC"/>
    <w:rsid w:val="001E7626"/>
    <w:rsid w:val="001F168B"/>
    <w:rsid w:val="001F22DF"/>
    <w:rsid w:val="001F31E9"/>
    <w:rsid w:val="001F513F"/>
    <w:rsid w:val="001F7831"/>
    <w:rsid w:val="002025D1"/>
    <w:rsid w:val="00203939"/>
    <w:rsid w:val="00203AEB"/>
    <w:rsid w:val="00204045"/>
    <w:rsid w:val="00205217"/>
    <w:rsid w:val="0020530B"/>
    <w:rsid w:val="0020712B"/>
    <w:rsid w:val="00207331"/>
    <w:rsid w:val="0021161C"/>
    <w:rsid w:val="002117D5"/>
    <w:rsid w:val="0021585F"/>
    <w:rsid w:val="0021716B"/>
    <w:rsid w:val="00217467"/>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6156"/>
    <w:rsid w:val="00256B74"/>
    <w:rsid w:val="00256DAC"/>
    <w:rsid w:val="00257340"/>
    <w:rsid w:val="002610D8"/>
    <w:rsid w:val="00261376"/>
    <w:rsid w:val="00261EEF"/>
    <w:rsid w:val="00263CB9"/>
    <w:rsid w:val="00265CAC"/>
    <w:rsid w:val="0026784C"/>
    <w:rsid w:val="00270C63"/>
    <w:rsid w:val="0027118E"/>
    <w:rsid w:val="002747EC"/>
    <w:rsid w:val="00276986"/>
    <w:rsid w:val="002818AA"/>
    <w:rsid w:val="002855BF"/>
    <w:rsid w:val="0029024E"/>
    <w:rsid w:val="002903B2"/>
    <w:rsid w:val="00290A7C"/>
    <w:rsid w:val="00290C2E"/>
    <w:rsid w:val="002911FF"/>
    <w:rsid w:val="0029120A"/>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817"/>
    <w:rsid w:val="002C3E22"/>
    <w:rsid w:val="002C6444"/>
    <w:rsid w:val="002C6F50"/>
    <w:rsid w:val="002C7F08"/>
    <w:rsid w:val="002D0034"/>
    <w:rsid w:val="002D2DCA"/>
    <w:rsid w:val="002D6ABE"/>
    <w:rsid w:val="002D7954"/>
    <w:rsid w:val="002E1E11"/>
    <w:rsid w:val="002E2F8C"/>
    <w:rsid w:val="002E729B"/>
    <w:rsid w:val="002F0D22"/>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801C3"/>
    <w:rsid w:val="003813B3"/>
    <w:rsid w:val="00383096"/>
    <w:rsid w:val="00387513"/>
    <w:rsid w:val="00387773"/>
    <w:rsid w:val="00390273"/>
    <w:rsid w:val="0039346C"/>
    <w:rsid w:val="00393561"/>
    <w:rsid w:val="00393992"/>
    <w:rsid w:val="00393BB3"/>
    <w:rsid w:val="00394727"/>
    <w:rsid w:val="00394C1B"/>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855"/>
    <w:rsid w:val="0040191E"/>
    <w:rsid w:val="00402CD0"/>
    <w:rsid w:val="00402D86"/>
    <w:rsid w:val="0040373E"/>
    <w:rsid w:val="004078ED"/>
    <w:rsid w:val="004123A9"/>
    <w:rsid w:val="00413259"/>
    <w:rsid w:val="00414C5B"/>
    <w:rsid w:val="0041535D"/>
    <w:rsid w:val="0041618B"/>
    <w:rsid w:val="004177ED"/>
    <w:rsid w:val="0042133C"/>
    <w:rsid w:val="00421369"/>
    <w:rsid w:val="00421F74"/>
    <w:rsid w:val="00425FED"/>
    <w:rsid w:val="00426796"/>
    <w:rsid w:val="00426F1F"/>
    <w:rsid w:val="00432700"/>
    <w:rsid w:val="00436BAF"/>
    <w:rsid w:val="00440D32"/>
    <w:rsid w:val="00446C3A"/>
    <w:rsid w:val="00447E7D"/>
    <w:rsid w:val="0045694B"/>
    <w:rsid w:val="00456ACF"/>
    <w:rsid w:val="00457837"/>
    <w:rsid w:val="004601A7"/>
    <w:rsid w:val="004629C9"/>
    <w:rsid w:val="00462B0D"/>
    <w:rsid w:val="00465587"/>
    <w:rsid w:val="00470C32"/>
    <w:rsid w:val="00471E7A"/>
    <w:rsid w:val="0047592D"/>
    <w:rsid w:val="004762E0"/>
    <w:rsid w:val="00477455"/>
    <w:rsid w:val="00477B7B"/>
    <w:rsid w:val="00483950"/>
    <w:rsid w:val="004851A0"/>
    <w:rsid w:val="0048586E"/>
    <w:rsid w:val="0049503D"/>
    <w:rsid w:val="004A0F50"/>
    <w:rsid w:val="004A1F7B"/>
    <w:rsid w:val="004A4A3A"/>
    <w:rsid w:val="004A6398"/>
    <w:rsid w:val="004B4D52"/>
    <w:rsid w:val="004B4D73"/>
    <w:rsid w:val="004C05BA"/>
    <w:rsid w:val="004C4017"/>
    <w:rsid w:val="004C44D2"/>
    <w:rsid w:val="004C52F9"/>
    <w:rsid w:val="004C7CFD"/>
    <w:rsid w:val="004D254C"/>
    <w:rsid w:val="004D3578"/>
    <w:rsid w:val="004D380D"/>
    <w:rsid w:val="004D4E01"/>
    <w:rsid w:val="004D73B9"/>
    <w:rsid w:val="004E0525"/>
    <w:rsid w:val="004E213A"/>
    <w:rsid w:val="004E2163"/>
    <w:rsid w:val="004E27C8"/>
    <w:rsid w:val="004E34CC"/>
    <w:rsid w:val="004E4727"/>
    <w:rsid w:val="004E5943"/>
    <w:rsid w:val="004E7553"/>
    <w:rsid w:val="004F053E"/>
    <w:rsid w:val="004F0695"/>
    <w:rsid w:val="004F4540"/>
    <w:rsid w:val="004F56B7"/>
    <w:rsid w:val="004F73A7"/>
    <w:rsid w:val="004F7911"/>
    <w:rsid w:val="005012F2"/>
    <w:rsid w:val="00503171"/>
    <w:rsid w:val="00503967"/>
    <w:rsid w:val="005041D3"/>
    <w:rsid w:val="00506C28"/>
    <w:rsid w:val="00507684"/>
    <w:rsid w:val="00510912"/>
    <w:rsid w:val="00511FE0"/>
    <w:rsid w:val="00512445"/>
    <w:rsid w:val="00512835"/>
    <w:rsid w:val="00513FA9"/>
    <w:rsid w:val="005157B0"/>
    <w:rsid w:val="005162EB"/>
    <w:rsid w:val="00516856"/>
    <w:rsid w:val="00520D25"/>
    <w:rsid w:val="00520E88"/>
    <w:rsid w:val="005246B7"/>
    <w:rsid w:val="00524E9D"/>
    <w:rsid w:val="00525531"/>
    <w:rsid w:val="00530627"/>
    <w:rsid w:val="005317FE"/>
    <w:rsid w:val="005337B6"/>
    <w:rsid w:val="00533D8D"/>
    <w:rsid w:val="00533E58"/>
    <w:rsid w:val="0053482B"/>
    <w:rsid w:val="00534DA0"/>
    <w:rsid w:val="0053651F"/>
    <w:rsid w:val="00537809"/>
    <w:rsid w:val="00541A65"/>
    <w:rsid w:val="005432D9"/>
    <w:rsid w:val="00543E6C"/>
    <w:rsid w:val="00547007"/>
    <w:rsid w:val="0055085C"/>
    <w:rsid w:val="0055459F"/>
    <w:rsid w:val="00556379"/>
    <w:rsid w:val="005606E9"/>
    <w:rsid w:val="0056238A"/>
    <w:rsid w:val="00563B0F"/>
    <w:rsid w:val="00564445"/>
    <w:rsid w:val="005649F4"/>
    <w:rsid w:val="00565087"/>
    <w:rsid w:val="0056573F"/>
    <w:rsid w:val="0057006E"/>
    <w:rsid w:val="00571157"/>
    <w:rsid w:val="00571279"/>
    <w:rsid w:val="00573250"/>
    <w:rsid w:val="00574BF9"/>
    <w:rsid w:val="00575FC5"/>
    <w:rsid w:val="00580137"/>
    <w:rsid w:val="005804E2"/>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7B1E"/>
    <w:rsid w:val="005B5935"/>
    <w:rsid w:val="005C0E92"/>
    <w:rsid w:val="005C5BBD"/>
    <w:rsid w:val="005C766E"/>
    <w:rsid w:val="005C7CD5"/>
    <w:rsid w:val="005D136F"/>
    <w:rsid w:val="005D26EA"/>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3302F"/>
    <w:rsid w:val="006346F3"/>
    <w:rsid w:val="006363E9"/>
    <w:rsid w:val="00637B44"/>
    <w:rsid w:val="006407D6"/>
    <w:rsid w:val="00642EBF"/>
    <w:rsid w:val="00642FC9"/>
    <w:rsid w:val="006433C5"/>
    <w:rsid w:val="00645366"/>
    <w:rsid w:val="00646309"/>
    <w:rsid w:val="00646D99"/>
    <w:rsid w:val="0065075F"/>
    <w:rsid w:val="00655BFA"/>
    <w:rsid w:val="00656106"/>
    <w:rsid w:val="00656910"/>
    <w:rsid w:val="006574C0"/>
    <w:rsid w:val="00657773"/>
    <w:rsid w:val="00663F38"/>
    <w:rsid w:val="006656DB"/>
    <w:rsid w:val="00665C9E"/>
    <w:rsid w:val="00665FB0"/>
    <w:rsid w:val="00667B9E"/>
    <w:rsid w:val="00667FCC"/>
    <w:rsid w:val="0067090D"/>
    <w:rsid w:val="00670B9D"/>
    <w:rsid w:val="0067438D"/>
    <w:rsid w:val="00680916"/>
    <w:rsid w:val="0068177F"/>
    <w:rsid w:val="006820CA"/>
    <w:rsid w:val="0068219C"/>
    <w:rsid w:val="00687E69"/>
    <w:rsid w:val="00690DC1"/>
    <w:rsid w:val="006914CE"/>
    <w:rsid w:val="00692DE4"/>
    <w:rsid w:val="00696821"/>
    <w:rsid w:val="006A0C16"/>
    <w:rsid w:val="006A1339"/>
    <w:rsid w:val="006A3AED"/>
    <w:rsid w:val="006A668D"/>
    <w:rsid w:val="006B14EA"/>
    <w:rsid w:val="006B5827"/>
    <w:rsid w:val="006B609E"/>
    <w:rsid w:val="006B7145"/>
    <w:rsid w:val="006B7A59"/>
    <w:rsid w:val="006C11CF"/>
    <w:rsid w:val="006C1EEE"/>
    <w:rsid w:val="006C3765"/>
    <w:rsid w:val="006C3CF9"/>
    <w:rsid w:val="006C6109"/>
    <w:rsid w:val="006C66D8"/>
    <w:rsid w:val="006C7883"/>
    <w:rsid w:val="006D1B4A"/>
    <w:rsid w:val="006D1E24"/>
    <w:rsid w:val="006D35DE"/>
    <w:rsid w:val="006D6876"/>
    <w:rsid w:val="006D73B2"/>
    <w:rsid w:val="006E1052"/>
    <w:rsid w:val="006E1057"/>
    <w:rsid w:val="006E1417"/>
    <w:rsid w:val="006E4A09"/>
    <w:rsid w:val="006E53B6"/>
    <w:rsid w:val="006E7704"/>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1E5E"/>
    <w:rsid w:val="0072073A"/>
    <w:rsid w:val="00722142"/>
    <w:rsid w:val="00723B23"/>
    <w:rsid w:val="00723DAB"/>
    <w:rsid w:val="00723FC2"/>
    <w:rsid w:val="00726F56"/>
    <w:rsid w:val="007342B5"/>
    <w:rsid w:val="00734A5B"/>
    <w:rsid w:val="007353E6"/>
    <w:rsid w:val="00735EC8"/>
    <w:rsid w:val="00736F23"/>
    <w:rsid w:val="00744E76"/>
    <w:rsid w:val="00746AD3"/>
    <w:rsid w:val="007547CA"/>
    <w:rsid w:val="00754D71"/>
    <w:rsid w:val="0075598D"/>
    <w:rsid w:val="00755B0B"/>
    <w:rsid w:val="00756373"/>
    <w:rsid w:val="00757D40"/>
    <w:rsid w:val="00762172"/>
    <w:rsid w:val="007662B5"/>
    <w:rsid w:val="00771979"/>
    <w:rsid w:val="00771A46"/>
    <w:rsid w:val="00771C8E"/>
    <w:rsid w:val="00773417"/>
    <w:rsid w:val="00775C4B"/>
    <w:rsid w:val="00781F0F"/>
    <w:rsid w:val="0078278C"/>
    <w:rsid w:val="007831CD"/>
    <w:rsid w:val="0078428F"/>
    <w:rsid w:val="00784520"/>
    <w:rsid w:val="00786445"/>
    <w:rsid w:val="0078727C"/>
    <w:rsid w:val="00787CB4"/>
    <w:rsid w:val="0079049D"/>
    <w:rsid w:val="00791F88"/>
    <w:rsid w:val="00793DC5"/>
    <w:rsid w:val="007947B8"/>
    <w:rsid w:val="00796823"/>
    <w:rsid w:val="00797F81"/>
    <w:rsid w:val="007A113F"/>
    <w:rsid w:val="007A2E55"/>
    <w:rsid w:val="007A551C"/>
    <w:rsid w:val="007B18D8"/>
    <w:rsid w:val="007B3DC2"/>
    <w:rsid w:val="007B4093"/>
    <w:rsid w:val="007B5FF1"/>
    <w:rsid w:val="007B66D6"/>
    <w:rsid w:val="007C095F"/>
    <w:rsid w:val="007C27A2"/>
    <w:rsid w:val="007C2DD0"/>
    <w:rsid w:val="007C5615"/>
    <w:rsid w:val="007C77E6"/>
    <w:rsid w:val="007D0E11"/>
    <w:rsid w:val="007D2CB1"/>
    <w:rsid w:val="007D67CD"/>
    <w:rsid w:val="007D7AB0"/>
    <w:rsid w:val="007D7BA9"/>
    <w:rsid w:val="007E2D79"/>
    <w:rsid w:val="007E3900"/>
    <w:rsid w:val="007F121B"/>
    <w:rsid w:val="007F2E08"/>
    <w:rsid w:val="007F3527"/>
    <w:rsid w:val="007F61E7"/>
    <w:rsid w:val="00800AF6"/>
    <w:rsid w:val="0080104F"/>
    <w:rsid w:val="008024FA"/>
    <w:rsid w:val="008028A4"/>
    <w:rsid w:val="008030A1"/>
    <w:rsid w:val="00804A94"/>
    <w:rsid w:val="00813245"/>
    <w:rsid w:val="0081515D"/>
    <w:rsid w:val="00815C2B"/>
    <w:rsid w:val="00820D9B"/>
    <w:rsid w:val="00822CB8"/>
    <w:rsid w:val="00822FCA"/>
    <w:rsid w:val="00827860"/>
    <w:rsid w:val="008317A7"/>
    <w:rsid w:val="0083382B"/>
    <w:rsid w:val="00840612"/>
    <w:rsid w:val="00840DE0"/>
    <w:rsid w:val="00842BC3"/>
    <w:rsid w:val="008473E8"/>
    <w:rsid w:val="00847CD0"/>
    <w:rsid w:val="008504E8"/>
    <w:rsid w:val="008511D3"/>
    <w:rsid w:val="00851B6C"/>
    <w:rsid w:val="008607A8"/>
    <w:rsid w:val="0086354A"/>
    <w:rsid w:val="00867383"/>
    <w:rsid w:val="008719FC"/>
    <w:rsid w:val="00871BC6"/>
    <w:rsid w:val="008766FF"/>
    <w:rsid w:val="008768CA"/>
    <w:rsid w:val="008768F5"/>
    <w:rsid w:val="0087762A"/>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45E0"/>
    <w:rsid w:val="008D659A"/>
    <w:rsid w:val="008D6D57"/>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7683"/>
    <w:rsid w:val="00931567"/>
    <w:rsid w:val="00932F26"/>
    <w:rsid w:val="009339CB"/>
    <w:rsid w:val="00935FEA"/>
    <w:rsid w:val="00936071"/>
    <w:rsid w:val="009376CD"/>
    <w:rsid w:val="00940212"/>
    <w:rsid w:val="00942EC2"/>
    <w:rsid w:val="00943295"/>
    <w:rsid w:val="00945267"/>
    <w:rsid w:val="00945E77"/>
    <w:rsid w:val="009477C8"/>
    <w:rsid w:val="00950621"/>
    <w:rsid w:val="00953B69"/>
    <w:rsid w:val="009545A1"/>
    <w:rsid w:val="00954C62"/>
    <w:rsid w:val="00955D50"/>
    <w:rsid w:val="009576E4"/>
    <w:rsid w:val="0096181A"/>
    <w:rsid w:val="00961B32"/>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B07CD"/>
    <w:rsid w:val="009B1A64"/>
    <w:rsid w:val="009B21DE"/>
    <w:rsid w:val="009B3892"/>
    <w:rsid w:val="009B5D29"/>
    <w:rsid w:val="009B6005"/>
    <w:rsid w:val="009B6DB2"/>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789F"/>
    <w:rsid w:val="009F154A"/>
    <w:rsid w:val="009F1862"/>
    <w:rsid w:val="009F4007"/>
    <w:rsid w:val="009F6E7A"/>
    <w:rsid w:val="009F7AAB"/>
    <w:rsid w:val="00A0030F"/>
    <w:rsid w:val="00A01238"/>
    <w:rsid w:val="00A024A8"/>
    <w:rsid w:val="00A03B01"/>
    <w:rsid w:val="00A060E1"/>
    <w:rsid w:val="00A10F02"/>
    <w:rsid w:val="00A11A2B"/>
    <w:rsid w:val="00A12AFD"/>
    <w:rsid w:val="00A15C8C"/>
    <w:rsid w:val="00A17176"/>
    <w:rsid w:val="00A204CA"/>
    <w:rsid w:val="00A209D6"/>
    <w:rsid w:val="00A21F4C"/>
    <w:rsid w:val="00A22738"/>
    <w:rsid w:val="00A27B98"/>
    <w:rsid w:val="00A3061E"/>
    <w:rsid w:val="00A320DA"/>
    <w:rsid w:val="00A34D71"/>
    <w:rsid w:val="00A36A4B"/>
    <w:rsid w:val="00A36F5F"/>
    <w:rsid w:val="00A37CF5"/>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671C"/>
    <w:rsid w:val="00AA00A1"/>
    <w:rsid w:val="00AA1553"/>
    <w:rsid w:val="00AA4032"/>
    <w:rsid w:val="00AA40C9"/>
    <w:rsid w:val="00AA47D5"/>
    <w:rsid w:val="00AA7403"/>
    <w:rsid w:val="00AB0CC3"/>
    <w:rsid w:val="00AB15E3"/>
    <w:rsid w:val="00AB19F3"/>
    <w:rsid w:val="00AB3A18"/>
    <w:rsid w:val="00AB4699"/>
    <w:rsid w:val="00AB4C3C"/>
    <w:rsid w:val="00AC14C5"/>
    <w:rsid w:val="00AC4F07"/>
    <w:rsid w:val="00AC7492"/>
    <w:rsid w:val="00AD23B8"/>
    <w:rsid w:val="00AD28DA"/>
    <w:rsid w:val="00AD591C"/>
    <w:rsid w:val="00AD7BF4"/>
    <w:rsid w:val="00AD7E7C"/>
    <w:rsid w:val="00AE0975"/>
    <w:rsid w:val="00AE34F4"/>
    <w:rsid w:val="00AE3D35"/>
    <w:rsid w:val="00AE489F"/>
    <w:rsid w:val="00AE584B"/>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B1"/>
    <w:rsid w:val="00B132DD"/>
    <w:rsid w:val="00B15449"/>
    <w:rsid w:val="00B16C2F"/>
    <w:rsid w:val="00B22F14"/>
    <w:rsid w:val="00B25178"/>
    <w:rsid w:val="00B25609"/>
    <w:rsid w:val="00B27303"/>
    <w:rsid w:val="00B27726"/>
    <w:rsid w:val="00B3234A"/>
    <w:rsid w:val="00B33FBF"/>
    <w:rsid w:val="00B34BE5"/>
    <w:rsid w:val="00B40CA6"/>
    <w:rsid w:val="00B433B0"/>
    <w:rsid w:val="00B44EB6"/>
    <w:rsid w:val="00B469F3"/>
    <w:rsid w:val="00B47FD1"/>
    <w:rsid w:val="00B516BB"/>
    <w:rsid w:val="00B53FA1"/>
    <w:rsid w:val="00B5751D"/>
    <w:rsid w:val="00B57FAB"/>
    <w:rsid w:val="00B669E9"/>
    <w:rsid w:val="00B7538C"/>
    <w:rsid w:val="00B77229"/>
    <w:rsid w:val="00B77EC6"/>
    <w:rsid w:val="00B807D7"/>
    <w:rsid w:val="00B835B0"/>
    <w:rsid w:val="00B84DB2"/>
    <w:rsid w:val="00B858A3"/>
    <w:rsid w:val="00B859D3"/>
    <w:rsid w:val="00B86813"/>
    <w:rsid w:val="00B87230"/>
    <w:rsid w:val="00B91ED3"/>
    <w:rsid w:val="00B9475E"/>
    <w:rsid w:val="00B96DD5"/>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30DA"/>
    <w:rsid w:val="00BD41EF"/>
    <w:rsid w:val="00BD57EC"/>
    <w:rsid w:val="00BD62F4"/>
    <w:rsid w:val="00BD7670"/>
    <w:rsid w:val="00BE08A5"/>
    <w:rsid w:val="00BE331F"/>
    <w:rsid w:val="00BE4971"/>
    <w:rsid w:val="00BE533F"/>
    <w:rsid w:val="00BF166C"/>
    <w:rsid w:val="00BF5B98"/>
    <w:rsid w:val="00BF6762"/>
    <w:rsid w:val="00BF7B0B"/>
    <w:rsid w:val="00C0024D"/>
    <w:rsid w:val="00C05183"/>
    <w:rsid w:val="00C07241"/>
    <w:rsid w:val="00C128A3"/>
    <w:rsid w:val="00C12B51"/>
    <w:rsid w:val="00C12DD3"/>
    <w:rsid w:val="00C1386C"/>
    <w:rsid w:val="00C16EDF"/>
    <w:rsid w:val="00C2242E"/>
    <w:rsid w:val="00C2330A"/>
    <w:rsid w:val="00C24650"/>
    <w:rsid w:val="00C24DE5"/>
    <w:rsid w:val="00C25465"/>
    <w:rsid w:val="00C25E50"/>
    <w:rsid w:val="00C25F4D"/>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B25"/>
    <w:rsid w:val="00CA12B8"/>
    <w:rsid w:val="00CA21B9"/>
    <w:rsid w:val="00CA26F3"/>
    <w:rsid w:val="00CA3248"/>
    <w:rsid w:val="00CA3B3D"/>
    <w:rsid w:val="00CA3D0C"/>
    <w:rsid w:val="00CA640F"/>
    <w:rsid w:val="00CA654B"/>
    <w:rsid w:val="00CB0687"/>
    <w:rsid w:val="00CB183F"/>
    <w:rsid w:val="00CB4799"/>
    <w:rsid w:val="00CB57DB"/>
    <w:rsid w:val="00CB614D"/>
    <w:rsid w:val="00CB6D7E"/>
    <w:rsid w:val="00CB71D0"/>
    <w:rsid w:val="00CB72B8"/>
    <w:rsid w:val="00CB78FD"/>
    <w:rsid w:val="00CB7E96"/>
    <w:rsid w:val="00CC158A"/>
    <w:rsid w:val="00CC1932"/>
    <w:rsid w:val="00CC69A6"/>
    <w:rsid w:val="00CD0BA8"/>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226A1"/>
    <w:rsid w:val="00D23C5B"/>
    <w:rsid w:val="00D276C2"/>
    <w:rsid w:val="00D306D5"/>
    <w:rsid w:val="00D30AD4"/>
    <w:rsid w:val="00D31BA7"/>
    <w:rsid w:val="00D33BE3"/>
    <w:rsid w:val="00D33C1D"/>
    <w:rsid w:val="00D3562D"/>
    <w:rsid w:val="00D3786F"/>
    <w:rsid w:val="00D3792D"/>
    <w:rsid w:val="00D40132"/>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F95"/>
    <w:rsid w:val="00D64120"/>
    <w:rsid w:val="00D6524B"/>
    <w:rsid w:val="00D65DB5"/>
    <w:rsid w:val="00D67CD1"/>
    <w:rsid w:val="00D738D6"/>
    <w:rsid w:val="00D74562"/>
    <w:rsid w:val="00D76CF2"/>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5361"/>
    <w:rsid w:val="00DD700E"/>
    <w:rsid w:val="00DE040B"/>
    <w:rsid w:val="00DE062F"/>
    <w:rsid w:val="00DE1456"/>
    <w:rsid w:val="00DE1460"/>
    <w:rsid w:val="00DE25D2"/>
    <w:rsid w:val="00DE40D8"/>
    <w:rsid w:val="00DE44B8"/>
    <w:rsid w:val="00DE4D6A"/>
    <w:rsid w:val="00DE4DFF"/>
    <w:rsid w:val="00DE62FC"/>
    <w:rsid w:val="00DE6C1F"/>
    <w:rsid w:val="00DF0C0D"/>
    <w:rsid w:val="00DF4756"/>
    <w:rsid w:val="00DF4D19"/>
    <w:rsid w:val="00DF65F9"/>
    <w:rsid w:val="00DF73CF"/>
    <w:rsid w:val="00DF7B82"/>
    <w:rsid w:val="00DF7C20"/>
    <w:rsid w:val="00E022D9"/>
    <w:rsid w:val="00E038FB"/>
    <w:rsid w:val="00E044D9"/>
    <w:rsid w:val="00E07996"/>
    <w:rsid w:val="00E11248"/>
    <w:rsid w:val="00E11672"/>
    <w:rsid w:val="00E11B78"/>
    <w:rsid w:val="00E11BFD"/>
    <w:rsid w:val="00E12ABE"/>
    <w:rsid w:val="00E12E7D"/>
    <w:rsid w:val="00E163D8"/>
    <w:rsid w:val="00E170D8"/>
    <w:rsid w:val="00E177F2"/>
    <w:rsid w:val="00E205AB"/>
    <w:rsid w:val="00E20FD4"/>
    <w:rsid w:val="00E2523B"/>
    <w:rsid w:val="00E31D28"/>
    <w:rsid w:val="00E32917"/>
    <w:rsid w:val="00E37B21"/>
    <w:rsid w:val="00E41A42"/>
    <w:rsid w:val="00E42A2B"/>
    <w:rsid w:val="00E42FB3"/>
    <w:rsid w:val="00E45180"/>
    <w:rsid w:val="00E46C08"/>
    <w:rsid w:val="00E471CF"/>
    <w:rsid w:val="00E505BC"/>
    <w:rsid w:val="00E531BF"/>
    <w:rsid w:val="00E53F3B"/>
    <w:rsid w:val="00E54EEA"/>
    <w:rsid w:val="00E55CB6"/>
    <w:rsid w:val="00E561E9"/>
    <w:rsid w:val="00E61151"/>
    <w:rsid w:val="00E62835"/>
    <w:rsid w:val="00E637D2"/>
    <w:rsid w:val="00E6480E"/>
    <w:rsid w:val="00E64898"/>
    <w:rsid w:val="00E66252"/>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5309"/>
    <w:rsid w:val="00E95598"/>
    <w:rsid w:val="00E96D90"/>
    <w:rsid w:val="00EA0A4F"/>
    <w:rsid w:val="00EA0D7D"/>
    <w:rsid w:val="00EA30CF"/>
    <w:rsid w:val="00EA5DC6"/>
    <w:rsid w:val="00EA66C9"/>
    <w:rsid w:val="00EB05E8"/>
    <w:rsid w:val="00EB0D3E"/>
    <w:rsid w:val="00EB1F14"/>
    <w:rsid w:val="00EB5D32"/>
    <w:rsid w:val="00EC033C"/>
    <w:rsid w:val="00EC3C2E"/>
    <w:rsid w:val="00EC4A25"/>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53B8"/>
    <w:rsid w:val="00F66371"/>
    <w:rsid w:val="00F673EE"/>
    <w:rsid w:val="00F67515"/>
    <w:rsid w:val="00F679F7"/>
    <w:rsid w:val="00F70B3E"/>
    <w:rsid w:val="00F71B89"/>
    <w:rsid w:val="00F7353C"/>
    <w:rsid w:val="00F75832"/>
    <w:rsid w:val="00F76F8F"/>
    <w:rsid w:val="00F77E6F"/>
    <w:rsid w:val="00F800E1"/>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6127"/>
    <w:rsid w:val="00FC65A7"/>
    <w:rsid w:val="00FD223E"/>
    <w:rsid w:val="00FD5100"/>
    <w:rsid w:val="00FD547E"/>
    <w:rsid w:val="00FD65AA"/>
    <w:rsid w:val="00FD6AE8"/>
    <w:rsid w:val="00FD71A8"/>
    <w:rsid w:val="00FE106D"/>
    <w:rsid w:val="00FE251B"/>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57E1A"/>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utelsat.com/sites/default/files/2025-08/DOC_Access-Space-Sgmnt_ESOG120_8_rev2_2024062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1322</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8582</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Eutelsat</cp:lastModifiedBy>
  <cp:revision>2</cp:revision>
  <dcterms:created xsi:type="dcterms:W3CDTF">2025-11-06T21:50:00Z</dcterms:created>
  <dcterms:modified xsi:type="dcterms:W3CDTF">2025-11-06T21:50:00Z</dcterms:modified>
  <cp:category/>
</cp:coreProperties>
</file>